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3C74" w:rsidRDefault="00C715AC" w:rsidP="007A4F39">
      <w:pPr>
        <w:spacing w:after="100"/>
        <w:jc w:val="center"/>
        <w:rPr>
          <w:b/>
          <w:bCs/>
          <w:color w:val="1F3864"/>
          <w:sz w:val="44"/>
          <w:szCs w:val="44"/>
        </w:rPr>
      </w:pPr>
      <w:r>
        <w:rPr>
          <w:b/>
          <w:bCs/>
          <w:color w:val="1F3864"/>
          <w:sz w:val="44"/>
          <w:szCs w:val="44"/>
        </w:rPr>
        <w:t>GRANITE SIGNAL SYSTEMS</w:t>
      </w:r>
    </w:p>
    <w:p w:rsidR="007A4F39" w:rsidRDefault="007A4F39" w:rsidP="007A4F39">
      <w:pPr>
        <w:spacing w:after="100"/>
        <w:jc w:val="center"/>
      </w:pPr>
      <w:r>
        <w:rPr>
          <w:b/>
          <w:bCs/>
          <w:color w:val="1F3864"/>
          <w:sz w:val="44"/>
          <w:szCs w:val="44"/>
        </w:rPr>
        <w:t>Next Level Market</w:t>
      </w:r>
      <w:bookmarkStart w:id="0" w:name="_GoBack"/>
      <w:bookmarkEnd w:id="0"/>
      <w:r>
        <w:rPr>
          <w:b/>
          <w:bCs/>
          <w:color w:val="1F3864"/>
          <w:sz w:val="44"/>
          <w:szCs w:val="44"/>
        </w:rPr>
        <w:t>ing</w:t>
      </w:r>
    </w:p>
    <w:p w:rsidR="00DE3C74" w:rsidRDefault="00C715AC">
      <w:pPr>
        <w:spacing w:after="100"/>
        <w:jc w:val="center"/>
      </w:pPr>
      <w:r>
        <w:rPr>
          <w:b/>
          <w:bCs/>
          <w:color w:val="2E5395"/>
          <w:sz w:val="32"/>
          <w:szCs w:val="32"/>
        </w:rPr>
        <w:t>Terminology Index &amp; Glossary</w:t>
      </w:r>
    </w:p>
    <w:p w:rsidR="00DE3C74" w:rsidRDefault="00C715AC">
      <w:pPr>
        <w:spacing w:after="60"/>
        <w:jc w:val="center"/>
      </w:pPr>
      <w:r>
        <w:rPr>
          <w:color w:val="595959"/>
          <w:sz w:val="24"/>
          <w:szCs w:val="24"/>
        </w:rPr>
        <w:t>Reference Guide for New &amp; Onboarding Staff</w:t>
      </w:r>
    </w:p>
    <w:p w:rsidR="00DE3C74" w:rsidRDefault="00C715AC">
      <w:pPr>
        <w:spacing w:before="300" w:after="60"/>
        <w:jc w:val="center"/>
      </w:pPr>
      <w:r>
        <w:rPr>
          <w:i/>
          <w:iCs/>
          <w:sz w:val="22"/>
          <w:szCs w:val="22"/>
        </w:rPr>
        <w:t>Companion Document to the Master Execution Plan V2.0 and Tiered Service Framework</w:t>
      </w:r>
    </w:p>
    <w:p w:rsidR="00DE3C74" w:rsidRDefault="00C715AC">
      <w:pPr>
        <w:spacing w:before="600"/>
        <w:jc w:val="center"/>
      </w:pPr>
      <w:r>
        <w:rPr>
          <w:color w:val="595959"/>
          <w:sz w:val="20"/>
          <w:szCs w:val="20"/>
        </w:rPr>
        <w:t>Prepared August 21, 2026</w:t>
      </w:r>
    </w:p>
    <w:p w:rsidR="00DE3C74" w:rsidRDefault="00C715AC">
      <w:r>
        <w:br w:type="page"/>
      </w:r>
    </w:p>
    <w:p w:rsidR="00DE3C74" w:rsidRPr="007622EB" w:rsidRDefault="00C715AC">
      <w:pPr>
        <w:pStyle w:val="Heading1"/>
        <w:spacing w:before="400"/>
        <w:rPr>
          <w:sz w:val="36"/>
        </w:rPr>
      </w:pPr>
      <w:r w:rsidRPr="007622EB">
        <w:rPr>
          <w:sz w:val="36"/>
        </w:rPr>
        <w:lastRenderedPageBreak/>
        <w:t xml:space="preserve">How to Use This </w:t>
      </w:r>
      <w:proofErr w:type="gramStart"/>
      <w:r w:rsidRPr="007622EB">
        <w:rPr>
          <w:sz w:val="36"/>
        </w:rPr>
        <w:t>Glossary</w:t>
      </w:r>
      <w:proofErr w:type="gramEnd"/>
    </w:p>
    <w:p w:rsidR="00DE3C74" w:rsidRPr="007622EB" w:rsidRDefault="00C715AC">
      <w:pPr>
        <w:spacing w:after="200"/>
        <w:rPr>
          <w:sz w:val="24"/>
        </w:rPr>
      </w:pPr>
      <w:r w:rsidRPr="007622EB">
        <w:rPr>
          <w:sz w:val="24"/>
        </w:rPr>
        <w:t xml:space="preserve">This glossary collects the platform, legal, sales, and operations terminology used across Granite Signal Systems' Master Execution Plan and Tiered Service Framework. Terms are alphabetical for quick lookup. Each entry includes a </w:t>
      </w:r>
      <w:proofErr w:type="gramStart"/>
      <w:r w:rsidRPr="007622EB">
        <w:rPr>
          <w:sz w:val="24"/>
        </w:rPr>
        <w:t>plain</w:t>
      </w:r>
      <w:proofErr w:type="gramEnd"/>
      <w:r w:rsidRPr="007622EB">
        <w:rPr>
          <w:sz w:val="24"/>
        </w:rPr>
        <w:t>-English definition plus a short note on why the term matters specifically to how Granite operates — use this alongside live training, not as a replacement for it.</w:t>
      </w:r>
    </w:p>
    <w:p w:rsidR="00DE3C74" w:rsidRPr="007622EB" w:rsidRDefault="00C715AC">
      <w:pPr>
        <w:pBdr>
          <w:bottom w:val="single" w:sz="6" w:space="2" w:color="2E5395"/>
        </w:pBdr>
        <w:spacing w:before="320" w:after="120"/>
        <w:rPr>
          <w:sz w:val="24"/>
        </w:rPr>
      </w:pPr>
      <w:r w:rsidRPr="007622EB">
        <w:rPr>
          <w:b/>
          <w:bCs/>
          <w:color w:val="2E5395"/>
          <w:sz w:val="32"/>
          <w:szCs w:val="26"/>
        </w:rPr>
        <w:t>A</w:t>
      </w:r>
    </w:p>
    <w:p w:rsidR="00DE3C74" w:rsidRPr="007622EB" w:rsidRDefault="00C715AC">
      <w:pPr>
        <w:spacing w:before="180" w:after="40"/>
        <w:rPr>
          <w:sz w:val="24"/>
        </w:rPr>
      </w:pPr>
      <w:r w:rsidRPr="007622EB">
        <w:rPr>
          <w:b/>
          <w:bCs/>
          <w:color w:val="1F3864"/>
          <w:sz w:val="28"/>
          <w:szCs w:val="22"/>
        </w:rPr>
        <w:t>A2P 10DLC</w:t>
      </w:r>
    </w:p>
    <w:p w:rsidR="00DE3C74" w:rsidRPr="007622EB" w:rsidRDefault="00C715AC">
      <w:pPr>
        <w:spacing w:after="40"/>
        <w:rPr>
          <w:sz w:val="24"/>
        </w:rPr>
      </w:pPr>
      <w:r w:rsidRPr="007622EB">
        <w:rPr>
          <w:sz w:val="24"/>
        </w:rPr>
        <w:t>“Application-to-Person, 10-Digit Long Code.” The U.S. carrier-mandated registration system for businesses sending automated text messages from a standard 10-digit phone number. Requires registering the business identity and a specific “messaging use case” before high-volume texting is allowed.</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Every client's SMS automation depends on a valid, correctly registered A2P campaign. Skipping or mismatching this (e.g., business name not matching EIN records) can get messages blocked or the client flagged by carriers.</w:t>
      </w:r>
    </w:p>
    <w:p w:rsidR="00DE3C74" w:rsidRPr="007622EB" w:rsidRDefault="00C715AC">
      <w:pPr>
        <w:spacing w:before="180" w:after="40"/>
        <w:rPr>
          <w:sz w:val="24"/>
        </w:rPr>
      </w:pPr>
      <w:r w:rsidRPr="007622EB">
        <w:rPr>
          <w:b/>
          <w:bCs/>
          <w:color w:val="1F3864"/>
          <w:sz w:val="28"/>
          <w:szCs w:val="22"/>
        </w:rPr>
        <w:t>Acceptance Test</w:t>
      </w:r>
    </w:p>
    <w:p w:rsidR="00DE3C74" w:rsidRPr="007622EB" w:rsidRDefault="00C715AC">
      <w:pPr>
        <w:spacing w:after="40"/>
        <w:rPr>
          <w:sz w:val="24"/>
        </w:rPr>
      </w:pPr>
      <w:r w:rsidRPr="007622EB">
        <w:rPr>
          <w:sz w:val="24"/>
        </w:rPr>
        <w:t>A formal, written set of test scenarios (see Section 14's 25-test suite) that a workflow must pass before it goes live with a real client.</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This is the gate between “built” and “launched.” Staff should never activate a workflow for a live client until it has passed the full test set.</w:t>
      </w:r>
    </w:p>
    <w:p w:rsidR="00DE3C74" w:rsidRPr="007622EB" w:rsidRDefault="00C715AC">
      <w:pPr>
        <w:spacing w:before="180" w:after="40"/>
        <w:rPr>
          <w:sz w:val="24"/>
        </w:rPr>
      </w:pPr>
      <w:r w:rsidRPr="007622EB">
        <w:rPr>
          <w:b/>
          <w:bCs/>
          <w:color w:val="1F3864"/>
          <w:sz w:val="28"/>
          <w:szCs w:val="22"/>
        </w:rPr>
        <w:t>API (Application Programming Interface)</w:t>
      </w:r>
    </w:p>
    <w:p w:rsidR="00DE3C74" w:rsidRPr="007622EB" w:rsidRDefault="00C715AC">
      <w:pPr>
        <w:spacing w:after="40"/>
        <w:rPr>
          <w:sz w:val="24"/>
        </w:rPr>
      </w:pPr>
      <w:r w:rsidRPr="007622EB">
        <w:rPr>
          <w:sz w:val="24"/>
        </w:rPr>
        <w:t>A defined way for two software systems to exchange data automatically, without a human copying information between them.</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Used when connecting HighLevel to a client's existing CRM/billing system (Tier 2/3), or when Granite's own tools call the Anthropic API. “Advanced API Access” is a HighLevel feature tier, not a generic term.</w:t>
      </w:r>
    </w:p>
    <w:p w:rsidR="00DE3C74" w:rsidRPr="007622EB" w:rsidRDefault="00C715AC">
      <w:pPr>
        <w:pBdr>
          <w:bottom w:val="single" w:sz="6" w:space="2" w:color="2E5395"/>
        </w:pBdr>
        <w:spacing w:before="320" w:after="120"/>
        <w:rPr>
          <w:sz w:val="24"/>
        </w:rPr>
      </w:pPr>
      <w:r w:rsidRPr="007622EB">
        <w:rPr>
          <w:b/>
          <w:bCs/>
          <w:color w:val="2E5395"/>
          <w:sz w:val="32"/>
          <w:szCs w:val="26"/>
        </w:rPr>
        <w:t>B</w:t>
      </w:r>
    </w:p>
    <w:p w:rsidR="00DE3C74" w:rsidRPr="007622EB" w:rsidRDefault="00C715AC">
      <w:pPr>
        <w:spacing w:before="180" w:after="40"/>
        <w:rPr>
          <w:sz w:val="24"/>
        </w:rPr>
      </w:pPr>
      <w:r w:rsidRPr="007622EB">
        <w:rPr>
          <w:b/>
          <w:bCs/>
          <w:color w:val="1F3864"/>
          <w:sz w:val="28"/>
          <w:szCs w:val="22"/>
        </w:rPr>
        <w:t>Bot Goal</w:t>
      </w:r>
    </w:p>
    <w:p w:rsidR="00DE3C74" w:rsidRPr="007622EB" w:rsidRDefault="00C715AC">
      <w:pPr>
        <w:spacing w:after="40"/>
        <w:rPr>
          <w:sz w:val="24"/>
        </w:rPr>
      </w:pPr>
      <w:r w:rsidRPr="007622EB">
        <w:rPr>
          <w:sz w:val="24"/>
        </w:rPr>
        <w:t>A HighLevel Conversation AI setting that defines exactly what information the AI is trying to collect from a lead (e.g., service type, town, urgency) before it stops or hands off.</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Keeping the Bot Goal narrow is what prevents the AI from wandering into pricing, safety, or legal territory it isn't allowed to touch.</w:t>
      </w:r>
    </w:p>
    <w:p w:rsidR="00DE3C74" w:rsidRPr="007622EB" w:rsidRDefault="00C715AC">
      <w:pPr>
        <w:pBdr>
          <w:bottom w:val="single" w:sz="6" w:space="2" w:color="2E5395"/>
        </w:pBdr>
        <w:spacing w:before="320" w:after="120"/>
        <w:rPr>
          <w:sz w:val="24"/>
        </w:rPr>
      </w:pPr>
      <w:r w:rsidRPr="007622EB">
        <w:rPr>
          <w:b/>
          <w:bCs/>
          <w:color w:val="2E5395"/>
          <w:sz w:val="32"/>
          <w:szCs w:val="26"/>
        </w:rPr>
        <w:t>C</w:t>
      </w:r>
    </w:p>
    <w:p w:rsidR="00DE3C74" w:rsidRPr="007622EB" w:rsidRDefault="00C715AC">
      <w:pPr>
        <w:spacing w:before="180" w:after="40"/>
        <w:rPr>
          <w:sz w:val="24"/>
        </w:rPr>
      </w:pPr>
      <w:r w:rsidRPr="007622EB">
        <w:rPr>
          <w:b/>
          <w:bCs/>
          <w:color w:val="1F3864"/>
          <w:sz w:val="28"/>
          <w:szCs w:val="22"/>
        </w:rPr>
        <w:t>Card Processing</w:t>
      </w:r>
    </w:p>
    <w:p w:rsidR="00DE3C74" w:rsidRPr="007622EB" w:rsidRDefault="00C715AC">
      <w:pPr>
        <w:spacing w:after="40"/>
        <w:rPr>
          <w:sz w:val="24"/>
        </w:rPr>
      </w:pPr>
      <w:r w:rsidRPr="007622EB">
        <w:rPr>
          <w:sz w:val="24"/>
        </w:rPr>
        <w:t>The fee a payment processor (Stripe, in Granite's stack) charges to process a credit card payment — currently 2.9% + $0.30 per domestic transaction on Stripe Standard.</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A real, recurring cost that reduces net margin on every invoice — already factored into the budget models.</w:t>
      </w:r>
    </w:p>
    <w:p w:rsidR="00DE3C74" w:rsidRPr="007622EB" w:rsidRDefault="00C715AC">
      <w:pPr>
        <w:spacing w:before="180" w:after="40"/>
        <w:rPr>
          <w:sz w:val="24"/>
        </w:rPr>
      </w:pPr>
      <w:r w:rsidRPr="007622EB">
        <w:rPr>
          <w:b/>
          <w:bCs/>
          <w:color w:val="1F3864"/>
          <w:sz w:val="28"/>
          <w:szCs w:val="22"/>
        </w:rPr>
        <w:t>Churn</w:t>
      </w:r>
    </w:p>
    <w:p w:rsidR="00DE3C74" w:rsidRPr="007622EB" w:rsidRDefault="00C715AC">
      <w:pPr>
        <w:spacing w:after="40"/>
        <w:rPr>
          <w:sz w:val="24"/>
        </w:rPr>
      </w:pPr>
      <w:r w:rsidRPr="007622EB">
        <w:rPr>
          <w:sz w:val="24"/>
        </w:rPr>
        <w:t>When a paying client cancels or does not renew.</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A key health metric once Granite has multiple clients; distinct from a client simply not converting during the sales process.</w:t>
      </w:r>
    </w:p>
    <w:p w:rsidR="00DE3C74" w:rsidRPr="007622EB" w:rsidRDefault="00C715AC">
      <w:pPr>
        <w:spacing w:before="180" w:after="40"/>
        <w:rPr>
          <w:sz w:val="24"/>
        </w:rPr>
      </w:pPr>
      <w:r w:rsidRPr="007622EB">
        <w:rPr>
          <w:b/>
          <w:bCs/>
          <w:color w:val="1F3864"/>
          <w:sz w:val="28"/>
          <w:szCs w:val="22"/>
        </w:rPr>
        <w:t>Consent (SMS/Marketing Consent)</w:t>
      </w:r>
    </w:p>
    <w:p w:rsidR="00DE3C74" w:rsidRPr="007622EB" w:rsidRDefault="00C715AC">
      <w:pPr>
        <w:spacing w:after="40"/>
        <w:rPr>
          <w:sz w:val="24"/>
        </w:rPr>
      </w:pPr>
      <w:r w:rsidRPr="007622EB">
        <w:rPr>
          <w:sz w:val="24"/>
        </w:rPr>
        <w:t>A person's documented agreement to receive automated text messages or marketing communication, captured through an unchecked checkbox or equivalent disclosure — never assumed or pre-checked.</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The single most important compliance concept in the business. No automated SMS goes out without documented, valid consent tied to the correct use case.</w:t>
      </w:r>
    </w:p>
    <w:p w:rsidR="00DE3C74" w:rsidRPr="007622EB" w:rsidRDefault="00C715AC">
      <w:pPr>
        <w:spacing w:before="180" w:after="40"/>
        <w:rPr>
          <w:sz w:val="24"/>
        </w:rPr>
      </w:pPr>
      <w:r w:rsidRPr="007622EB">
        <w:rPr>
          <w:b/>
          <w:bCs/>
          <w:color w:val="1F3864"/>
          <w:sz w:val="28"/>
          <w:szCs w:val="22"/>
        </w:rPr>
        <w:t>Consumer PII (Personally Identifiable Information)</w:t>
      </w:r>
    </w:p>
    <w:p w:rsidR="00DE3C74" w:rsidRPr="007622EB" w:rsidRDefault="00C715AC">
      <w:pPr>
        <w:spacing w:after="40"/>
        <w:rPr>
          <w:sz w:val="24"/>
        </w:rPr>
      </w:pPr>
      <w:r w:rsidRPr="007622EB">
        <w:rPr>
          <w:sz w:val="24"/>
        </w:rPr>
        <w:t>Any data that can identify a specific person — name, phone number, email, address, and in some contexts IP address or device ID.</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Staff (especially offshore staff) handling lead records are handling PII. This is why access is role-scoped and NDAs are required before anyone touches client data.</w:t>
      </w:r>
    </w:p>
    <w:p w:rsidR="00DE3C74" w:rsidRPr="007622EB" w:rsidRDefault="00C715AC">
      <w:pPr>
        <w:spacing w:before="180" w:after="40"/>
        <w:rPr>
          <w:sz w:val="24"/>
        </w:rPr>
      </w:pPr>
      <w:r w:rsidRPr="007622EB">
        <w:rPr>
          <w:b/>
          <w:bCs/>
          <w:color w:val="1F3864"/>
          <w:sz w:val="28"/>
          <w:szCs w:val="22"/>
        </w:rPr>
        <w:t>Conversation AI</w:t>
      </w:r>
    </w:p>
    <w:p w:rsidR="00DE3C74" w:rsidRPr="007622EB" w:rsidRDefault="00C715AC">
      <w:pPr>
        <w:spacing w:after="40"/>
        <w:rPr>
          <w:sz w:val="24"/>
        </w:rPr>
      </w:pPr>
      <w:proofErr w:type="spellStart"/>
      <w:r w:rsidRPr="007622EB">
        <w:rPr>
          <w:sz w:val="24"/>
        </w:rPr>
        <w:t>HighLevel's</w:t>
      </w:r>
      <w:proofErr w:type="spellEnd"/>
      <w:r w:rsidRPr="007622EB">
        <w:rPr>
          <w:sz w:val="24"/>
        </w:rPr>
        <w:t xml:space="preserve"> client-facing AI chat/SMS feature that carries on the actual qualification conversation with a homeowner lead, inside a specific client's sub-account.</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 xml:space="preserve">This is the customer-facing product Granite sells — distinct from </w:t>
      </w:r>
      <w:proofErr w:type="spellStart"/>
      <w:r w:rsidRPr="007622EB">
        <w:rPr>
          <w:i/>
          <w:iCs/>
          <w:color w:val="595959"/>
          <w:sz w:val="22"/>
          <w:szCs w:val="19"/>
        </w:rPr>
        <w:t>ChatGPT</w:t>
      </w:r>
      <w:proofErr w:type="spellEnd"/>
      <w:r w:rsidRPr="007622EB">
        <w:rPr>
          <w:i/>
          <w:iCs/>
          <w:color w:val="595959"/>
          <w:sz w:val="22"/>
          <w:szCs w:val="19"/>
        </w:rPr>
        <w:t xml:space="preserve"> Plus, which is the founder's internal tool and never talks to a client's leads.</w:t>
      </w:r>
    </w:p>
    <w:p w:rsidR="00DE3C74" w:rsidRPr="007622EB" w:rsidRDefault="00C715AC">
      <w:pPr>
        <w:spacing w:before="180" w:after="40"/>
        <w:rPr>
          <w:sz w:val="24"/>
        </w:rPr>
      </w:pPr>
      <w:r w:rsidRPr="007622EB">
        <w:rPr>
          <w:b/>
          <w:bCs/>
          <w:color w:val="1F3864"/>
          <w:sz w:val="28"/>
          <w:szCs w:val="22"/>
        </w:rPr>
        <w:t>CRM (Customer Relationship Management)</w:t>
      </w:r>
    </w:p>
    <w:p w:rsidR="00DE3C74" w:rsidRPr="007622EB" w:rsidRDefault="00C715AC">
      <w:pPr>
        <w:spacing w:after="40"/>
        <w:rPr>
          <w:sz w:val="24"/>
        </w:rPr>
      </w:pPr>
      <w:r w:rsidRPr="007622EB">
        <w:rPr>
          <w:sz w:val="24"/>
        </w:rPr>
        <w:t>Software that tracks contacts, their status in a sales or service process, and the history of interactions with them. HighLevel functions as the CRM in Granite's stack.</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Every lead, client, and prospect Granite touches should exist as a record in the CRM — nothing should live only in someone's memory or a personal notebook.</w:t>
      </w:r>
    </w:p>
    <w:p w:rsidR="00DE3C74" w:rsidRPr="007622EB" w:rsidRDefault="00C715AC">
      <w:pPr>
        <w:spacing w:before="180" w:after="40"/>
        <w:rPr>
          <w:sz w:val="24"/>
        </w:rPr>
      </w:pPr>
      <w:r w:rsidRPr="007622EB">
        <w:rPr>
          <w:b/>
          <w:bCs/>
          <w:color w:val="1F3864"/>
          <w:sz w:val="28"/>
          <w:szCs w:val="22"/>
        </w:rPr>
        <w:t>CRM Hygiene</w:t>
      </w:r>
    </w:p>
    <w:p w:rsidR="00DE3C74" w:rsidRPr="007622EB" w:rsidRDefault="00C715AC">
      <w:pPr>
        <w:spacing w:after="40"/>
        <w:rPr>
          <w:sz w:val="24"/>
        </w:rPr>
      </w:pPr>
      <w:r w:rsidRPr="007622EB">
        <w:rPr>
          <w:sz w:val="24"/>
        </w:rPr>
        <w:t xml:space="preserve">The ongoing task of keeping CRM records accurate, </w:t>
      </w:r>
      <w:proofErr w:type="spellStart"/>
      <w:r w:rsidRPr="007622EB">
        <w:rPr>
          <w:sz w:val="24"/>
        </w:rPr>
        <w:t>deduplicated</w:t>
      </w:r>
      <w:proofErr w:type="spellEnd"/>
      <w:r w:rsidRPr="007622EB">
        <w:rPr>
          <w:sz w:val="24"/>
        </w:rPr>
        <w:t>, correctly tagged, and up to date — removing stale entries, fixing wrong stages, merging duplicate contacts.</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A core generalist VA responsibility. Poor CRM hygiene quietly breaks reporting, routing, and follow-up sequences over time.</w:t>
      </w:r>
    </w:p>
    <w:p w:rsidR="00DE3C74" w:rsidRPr="007622EB" w:rsidRDefault="00C715AC">
      <w:pPr>
        <w:pBdr>
          <w:bottom w:val="single" w:sz="6" w:space="2" w:color="2E5395"/>
        </w:pBdr>
        <w:spacing w:before="320" w:after="120"/>
        <w:rPr>
          <w:sz w:val="24"/>
        </w:rPr>
      </w:pPr>
      <w:r w:rsidRPr="007622EB">
        <w:rPr>
          <w:b/>
          <w:bCs/>
          <w:color w:val="2E5395"/>
          <w:sz w:val="32"/>
          <w:szCs w:val="26"/>
        </w:rPr>
        <w:t>D</w:t>
      </w:r>
    </w:p>
    <w:p w:rsidR="00DE3C74" w:rsidRPr="007622EB" w:rsidRDefault="00C715AC">
      <w:pPr>
        <w:spacing w:before="180" w:after="40"/>
        <w:rPr>
          <w:sz w:val="24"/>
        </w:rPr>
      </w:pPr>
      <w:r w:rsidRPr="007622EB">
        <w:rPr>
          <w:b/>
          <w:bCs/>
          <w:color w:val="1F3864"/>
          <w:sz w:val="28"/>
          <w:szCs w:val="22"/>
        </w:rPr>
        <w:t>DND (Do Not Disturb) / Suppression</w:t>
      </w:r>
    </w:p>
    <w:p w:rsidR="00DE3C74" w:rsidRPr="007622EB" w:rsidRDefault="00C715AC">
      <w:pPr>
        <w:spacing w:after="40"/>
        <w:rPr>
          <w:sz w:val="24"/>
        </w:rPr>
      </w:pPr>
      <w:r w:rsidRPr="007622EB">
        <w:rPr>
          <w:sz w:val="24"/>
        </w:rPr>
        <w:t>A CRM status marking a contact as opted out of further automated messaging. Once set, workflows must not message that contact again.</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This is the technical mechanism behind honoring a STOP request — failing to suppress a contact after opt-out is both a compliance violation and grounds for carrier penalties.</w:t>
      </w:r>
    </w:p>
    <w:p w:rsidR="00DE3C74" w:rsidRPr="007622EB" w:rsidRDefault="00C715AC">
      <w:pPr>
        <w:pBdr>
          <w:bottom w:val="single" w:sz="6" w:space="2" w:color="2E5395"/>
        </w:pBdr>
        <w:spacing w:before="320" w:after="120"/>
        <w:rPr>
          <w:sz w:val="24"/>
        </w:rPr>
      </w:pPr>
      <w:r w:rsidRPr="007622EB">
        <w:rPr>
          <w:b/>
          <w:bCs/>
          <w:color w:val="2E5395"/>
          <w:sz w:val="32"/>
          <w:szCs w:val="26"/>
        </w:rPr>
        <w:t>E</w:t>
      </w:r>
    </w:p>
    <w:p w:rsidR="00DE3C74" w:rsidRPr="007622EB" w:rsidRDefault="00C715AC">
      <w:pPr>
        <w:spacing w:before="180" w:after="40"/>
        <w:rPr>
          <w:sz w:val="24"/>
        </w:rPr>
      </w:pPr>
      <w:r w:rsidRPr="007622EB">
        <w:rPr>
          <w:b/>
          <w:bCs/>
          <w:color w:val="1F3864"/>
          <w:sz w:val="28"/>
          <w:szCs w:val="22"/>
        </w:rPr>
        <w:t>Economic Fit Gate</w:t>
      </w:r>
    </w:p>
    <w:p w:rsidR="00DE3C74" w:rsidRPr="007622EB" w:rsidRDefault="00C715AC">
      <w:pPr>
        <w:spacing w:after="40"/>
        <w:rPr>
          <w:sz w:val="24"/>
        </w:rPr>
      </w:pPr>
      <w:r w:rsidRPr="007622EB">
        <w:rPr>
          <w:sz w:val="24"/>
        </w:rPr>
        <w:t>The minimum business conditions (roughly 20+ monthly inbound inquiries, or fewer inquiries with high job value) that Granite requires before a prospect is considered a good client fit.</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Prevents signing clients who can't generate enough value from the service to justify the monthly fee — a bad-fit client is a support burden with a ceiling on how much good you can do for them.</w:t>
      </w:r>
    </w:p>
    <w:p w:rsidR="00DE3C74" w:rsidRPr="007622EB" w:rsidRDefault="00C715AC">
      <w:pPr>
        <w:spacing w:before="180" w:after="40"/>
        <w:rPr>
          <w:sz w:val="24"/>
        </w:rPr>
      </w:pPr>
      <w:r w:rsidRPr="007622EB">
        <w:rPr>
          <w:b/>
          <w:bCs/>
          <w:color w:val="1F3864"/>
          <w:sz w:val="28"/>
          <w:szCs w:val="22"/>
        </w:rPr>
        <w:t>EIN (Employer Identification Number)</w:t>
      </w:r>
    </w:p>
    <w:p w:rsidR="00DE3C74" w:rsidRPr="007622EB" w:rsidRDefault="00C715AC">
      <w:pPr>
        <w:spacing w:after="40"/>
        <w:rPr>
          <w:sz w:val="24"/>
        </w:rPr>
      </w:pPr>
      <w:r w:rsidRPr="007622EB">
        <w:rPr>
          <w:sz w:val="24"/>
        </w:rPr>
        <w:t>A federal tax ID number issued free by the IRS to a business entity, required for banking, A2P registration, and tax filing.</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Required before A2P registration — and the business name used in A2P must exactly match EIN records or registration can be rejected.</w:t>
      </w:r>
    </w:p>
    <w:p w:rsidR="00DE3C74" w:rsidRPr="007622EB" w:rsidRDefault="00C715AC">
      <w:pPr>
        <w:spacing w:before="180" w:after="40"/>
        <w:rPr>
          <w:sz w:val="24"/>
        </w:rPr>
      </w:pPr>
      <w:r w:rsidRPr="007622EB">
        <w:rPr>
          <w:b/>
          <w:bCs/>
          <w:color w:val="1F3864"/>
          <w:sz w:val="28"/>
          <w:szCs w:val="22"/>
        </w:rPr>
        <w:t>Escalation / Human Handoff</w:t>
      </w:r>
    </w:p>
    <w:p w:rsidR="00DE3C74" w:rsidRPr="007622EB" w:rsidRDefault="00C715AC">
      <w:pPr>
        <w:spacing w:after="40"/>
        <w:rPr>
          <w:sz w:val="24"/>
        </w:rPr>
      </w:pPr>
      <w:r w:rsidRPr="007622EB">
        <w:rPr>
          <w:sz w:val="24"/>
        </w:rPr>
        <w:t>The point where the AI stops and routes a conversation to a real person — triggered by safety issues, pricing questions, complaints, or anything outside its approved scope.</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This is a guardrail, not a failure state. A well-configured system should hand off often in the right situations — that's the AI doing its job correctly.</w:t>
      </w:r>
    </w:p>
    <w:p w:rsidR="00DE3C74" w:rsidRPr="007622EB" w:rsidRDefault="00C715AC">
      <w:pPr>
        <w:pBdr>
          <w:bottom w:val="single" w:sz="6" w:space="2" w:color="2E5395"/>
        </w:pBdr>
        <w:spacing w:before="320" w:after="120"/>
        <w:rPr>
          <w:sz w:val="24"/>
        </w:rPr>
      </w:pPr>
      <w:r w:rsidRPr="007622EB">
        <w:rPr>
          <w:b/>
          <w:bCs/>
          <w:color w:val="2E5395"/>
          <w:sz w:val="32"/>
          <w:szCs w:val="26"/>
        </w:rPr>
        <w:t>G</w:t>
      </w:r>
    </w:p>
    <w:p w:rsidR="00DE3C74" w:rsidRPr="007622EB" w:rsidRDefault="00C715AC">
      <w:pPr>
        <w:spacing w:before="180" w:after="40"/>
        <w:rPr>
          <w:sz w:val="24"/>
        </w:rPr>
      </w:pPr>
      <w:r w:rsidRPr="007622EB">
        <w:rPr>
          <w:b/>
          <w:bCs/>
          <w:color w:val="1F3864"/>
          <w:sz w:val="28"/>
          <w:szCs w:val="22"/>
        </w:rPr>
        <w:t>GPT Workflow Step</w:t>
      </w:r>
    </w:p>
    <w:p w:rsidR="00DE3C74" w:rsidRPr="007622EB" w:rsidRDefault="00C715AC">
      <w:pPr>
        <w:spacing w:after="40"/>
        <w:rPr>
          <w:sz w:val="24"/>
        </w:rPr>
      </w:pPr>
      <w:r w:rsidRPr="007622EB">
        <w:rPr>
          <w:sz w:val="24"/>
        </w:rPr>
        <w:t>A one-off HighLevel automation action that uses a GPT model (default: GPT-5 Mini) to generate, classify, or summarize text inside a workflow — distinct from the full Conversation AI chat experience.</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Cheaper and narrower than Conversation AI; used for small tasks like tagging a lead's urgency level, not for carrying a full conversation.</w:t>
      </w:r>
    </w:p>
    <w:p w:rsidR="00DE3C74" w:rsidRPr="007622EB" w:rsidRDefault="00C715AC">
      <w:pPr>
        <w:spacing w:before="180" w:after="40"/>
        <w:rPr>
          <w:sz w:val="24"/>
        </w:rPr>
      </w:pPr>
      <w:r w:rsidRPr="007622EB">
        <w:rPr>
          <w:b/>
          <w:bCs/>
          <w:color w:val="1F3864"/>
          <w:sz w:val="28"/>
          <w:szCs w:val="22"/>
        </w:rPr>
        <w:t>Gross Margin</w:t>
      </w:r>
    </w:p>
    <w:p w:rsidR="00DE3C74" w:rsidRPr="007622EB" w:rsidRDefault="00C715AC">
      <w:pPr>
        <w:spacing w:after="40"/>
        <w:rPr>
          <w:sz w:val="24"/>
        </w:rPr>
      </w:pPr>
      <w:r w:rsidRPr="007622EB">
        <w:rPr>
          <w:sz w:val="24"/>
        </w:rPr>
        <w:t>Revenue from a client minus the direct cost of delivering their service (platform fees, SMS usage, labor), expressed as a percentage or dollar amount.</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The number that determines whether a given tier or client is actually profitable once real costs are counted — not just whether they're paying an invoice.</w:t>
      </w:r>
    </w:p>
    <w:p w:rsidR="00DE3C74" w:rsidRPr="007622EB" w:rsidRDefault="00C715AC">
      <w:pPr>
        <w:pBdr>
          <w:bottom w:val="single" w:sz="6" w:space="2" w:color="2E5395"/>
        </w:pBdr>
        <w:spacing w:before="320" w:after="120"/>
        <w:rPr>
          <w:sz w:val="24"/>
        </w:rPr>
      </w:pPr>
      <w:r w:rsidRPr="007622EB">
        <w:rPr>
          <w:b/>
          <w:bCs/>
          <w:color w:val="2E5395"/>
          <w:sz w:val="32"/>
          <w:szCs w:val="26"/>
        </w:rPr>
        <w:t>I</w:t>
      </w:r>
    </w:p>
    <w:p w:rsidR="00DE3C74" w:rsidRPr="007622EB" w:rsidRDefault="00C715AC">
      <w:pPr>
        <w:spacing w:before="180" w:after="40"/>
        <w:rPr>
          <w:sz w:val="24"/>
        </w:rPr>
      </w:pPr>
      <w:r w:rsidRPr="007622EB">
        <w:rPr>
          <w:b/>
          <w:bCs/>
          <w:color w:val="1F3864"/>
          <w:sz w:val="28"/>
          <w:szCs w:val="22"/>
        </w:rPr>
        <w:t>ICP (Ideal Client Profile)</w:t>
      </w:r>
    </w:p>
    <w:p w:rsidR="00DE3C74" w:rsidRPr="007622EB" w:rsidRDefault="00C715AC">
      <w:pPr>
        <w:spacing w:after="40"/>
        <w:rPr>
          <w:sz w:val="24"/>
        </w:rPr>
      </w:pPr>
      <w:r w:rsidRPr="007622EB">
        <w:rPr>
          <w:sz w:val="24"/>
        </w:rPr>
        <w:t>The defined profile of the type of business Granite should be targeting — scored using the 100-point signal table in Section 15A (inbound quote flow, field-based operation, high-value services, etc.).</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Used to filter prospecting effort toward businesses likely to close and succeed as clients, rather than spending manual sales time on poor-fit leads.</w:t>
      </w:r>
    </w:p>
    <w:p w:rsidR="00DE3C74" w:rsidRPr="007622EB" w:rsidRDefault="00C715AC">
      <w:pPr>
        <w:pBdr>
          <w:bottom w:val="single" w:sz="6" w:space="2" w:color="2E5395"/>
        </w:pBdr>
        <w:spacing w:before="320" w:after="120"/>
        <w:rPr>
          <w:sz w:val="24"/>
        </w:rPr>
      </w:pPr>
      <w:r w:rsidRPr="007622EB">
        <w:rPr>
          <w:b/>
          <w:bCs/>
          <w:color w:val="2E5395"/>
          <w:sz w:val="32"/>
          <w:szCs w:val="26"/>
        </w:rPr>
        <w:t>L</w:t>
      </w:r>
    </w:p>
    <w:p w:rsidR="00DE3C74" w:rsidRPr="007622EB" w:rsidRDefault="00C715AC">
      <w:pPr>
        <w:spacing w:before="180" w:after="40"/>
        <w:rPr>
          <w:sz w:val="24"/>
        </w:rPr>
      </w:pPr>
      <w:r w:rsidRPr="007622EB">
        <w:rPr>
          <w:b/>
          <w:bCs/>
          <w:color w:val="1F3864"/>
          <w:sz w:val="28"/>
          <w:szCs w:val="22"/>
        </w:rPr>
        <w:t>LLC (Limited Liability Company)</w:t>
      </w:r>
    </w:p>
    <w:p w:rsidR="00DE3C74" w:rsidRPr="007622EB" w:rsidRDefault="00C715AC">
      <w:pPr>
        <w:spacing w:after="40"/>
        <w:rPr>
          <w:sz w:val="24"/>
        </w:rPr>
      </w:pPr>
      <w:r w:rsidRPr="007622EB">
        <w:rPr>
          <w:sz w:val="24"/>
        </w:rPr>
        <w:t>The legal business entity structure Granite Signal Systems is organized under in New Hampshire, separating personal and business liability.</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Foundational legal step (Section 6) — required before an EIN, business bank account, or client contracts can properly exist.</w:t>
      </w:r>
    </w:p>
    <w:p w:rsidR="00DE3C74" w:rsidRPr="007622EB" w:rsidRDefault="00C715AC">
      <w:pPr>
        <w:spacing w:before="180" w:after="40"/>
        <w:rPr>
          <w:sz w:val="24"/>
        </w:rPr>
      </w:pPr>
      <w:r w:rsidRPr="007622EB">
        <w:rPr>
          <w:b/>
          <w:bCs/>
          <w:color w:val="1F3864"/>
          <w:sz w:val="28"/>
          <w:szCs w:val="22"/>
        </w:rPr>
        <w:t>Location (a.k.a. Sub-account)</w:t>
      </w:r>
    </w:p>
    <w:p w:rsidR="00DE3C74" w:rsidRPr="007622EB" w:rsidRDefault="00C715AC">
      <w:pPr>
        <w:spacing w:after="40"/>
        <w:rPr>
          <w:sz w:val="24"/>
        </w:rPr>
      </w:pPr>
      <w:proofErr w:type="spellStart"/>
      <w:r w:rsidRPr="007622EB">
        <w:rPr>
          <w:sz w:val="24"/>
        </w:rPr>
        <w:t>HighLevel's</w:t>
      </w:r>
      <w:proofErr w:type="spellEnd"/>
      <w:r w:rsidRPr="007622EB">
        <w:rPr>
          <w:sz w:val="24"/>
        </w:rPr>
        <w:t xml:space="preserve"> term for an individual client's isolated workspace within the agency account — their own contacts, pipeline, and Conversation AI, walled off from other clients.</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Client data must never cross between locations. Each new client gets their own Location, built from the Granite snapshot/template.</w:t>
      </w:r>
    </w:p>
    <w:p w:rsidR="00DE3C74" w:rsidRPr="007622EB" w:rsidRDefault="00C715AC">
      <w:pPr>
        <w:pBdr>
          <w:bottom w:val="single" w:sz="6" w:space="2" w:color="2E5395"/>
        </w:pBdr>
        <w:spacing w:before="320" w:after="120"/>
        <w:rPr>
          <w:sz w:val="24"/>
        </w:rPr>
      </w:pPr>
      <w:r w:rsidRPr="007622EB">
        <w:rPr>
          <w:b/>
          <w:bCs/>
          <w:color w:val="2E5395"/>
          <w:sz w:val="32"/>
          <w:szCs w:val="26"/>
        </w:rPr>
        <w:t>M</w:t>
      </w:r>
    </w:p>
    <w:p w:rsidR="00DE3C74" w:rsidRPr="007622EB" w:rsidRDefault="00C715AC">
      <w:pPr>
        <w:spacing w:before="180" w:after="40"/>
        <w:rPr>
          <w:sz w:val="24"/>
        </w:rPr>
      </w:pPr>
      <w:r w:rsidRPr="007622EB">
        <w:rPr>
          <w:b/>
          <w:bCs/>
          <w:color w:val="1F3864"/>
          <w:sz w:val="28"/>
          <w:szCs w:val="22"/>
        </w:rPr>
        <w:t>MRR (Monthly Recurring Revenue)</w:t>
      </w:r>
    </w:p>
    <w:p w:rsidR="00DE3C74" w:rsidRPr="007622EB" w:rsidRDefault="00C715AC">
      <w:pPr>
        <w:spacing w:after="40"/>
        <w:rPr>
          <w:sz w:val="24"/>
        </w:rPr>
      </w:pPr>
      <w:r w:rsidRPr="007622EB">
        <w:rPr>
          <w:sz w:val="24"/>
        </w:rPr>
        <w:t>The predictable monthly revenue from active subscriptions, before one-time setup fees or churn are factored in.</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The primary growth metric tracked in the 30-client math and profit models (Section 17, 20).</w:t>
      </w:r>
    </w:p>
    <w:p w:rsidR="00DE3C74" w:rsidRPr="007622EB" w:rsidRDefault="00C715AC">
      <w:pPr>
        <w:spacing w:before="180" w:after="40"/>
        <w:rPr>
          <w:sz w:val="24"/>
        </w:rPr>
      </w:pPr>
      <w:r w:rsidRPr="007622EB">
        <w:rPr>
          <w:b/>
          <w:bCs/>
          <w:color w:val="1F3864"/>
          <w:sz w:val="28"/>
          <w:szCs w:val="22"/>
        </w:rPr>
        <w:t>MSA (Master Services Agreement)</w:t>
      </w:r>
    </w:p>
    <w:p w:rsidR="00DE3C74" w:rsidRPr="007622EB" w:rsidRDefault="00C715AC">
      <w:pPr>
        <w:spacing w:after="40"/>
        <w:rPr>
          <w:sz w:val="24"/>
        </w:rPr>
      </w:pPr>
      <w:r w:rsidRPr="007622EB">
        <w:rPr>
          <w:sz w:val="24"/>
        </w:rPr>
        <w:t>The core legal contract between Granite and a client, setting out the general terms of the relationship (responsibilities, liability, data handling) — typically paired with a specific Statement of Work per engagement.</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Every client relationship should be governed by a lawyer-reviewed MSA before any live automation touches real customer data.</w:t>
      </w:r>
    </w:p>
    <w:p w:rsidR="00DE3C74" w:rsidRPr="007622EB" w:rsidRDefault="00C715AC">
      <w:pPr>
        <w:spacing w:before="180" w:after="40"/>
        <w:rPr>
          <w:sz w:val="24"/>
        </w:rPr>
      </w:pPr>
      <w:r w:rsidRPr="007622EB">
        <w:rPr>
          <w:b/>
          <w:bCs/>
          <w:color w:val="1F3864"/>
          <w:sz w:val="28"/>
          <w:szCs w:val="22"/>
        </w:rPr>
        <w:t>MSA Liability Cap</w:t>
      </w:r>
    </w:p>
    <w:p w:rsidR="00DE3C74" w:rsidRPr="007622EB" w:rsidRDefault="00C715AC">
      <w:pPr>
        <w:spacing w:after="40"/>
        <w:rPr>
          <w:sz w:val="24"/>
        </w:rPr>
      </w:pPr>
      <w:r w:rsidRPr="007622EB">
        <w:rPr>
          <w:sz w:val="24"/>
        </w:rPr>
        <w:t>A contract clause limiting the maximum dollar amount Granite could be held responsible for if something goes wrong, regardless of the client's actual damages.</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Protects the business from open-ended financial exposure — becomes especially important as client size (and potential damages) grows into Tier 2/3.</w:t>
      </w:r>
    </w:p>
    <w:p w:rsidR="00DE3C74" w:rsidRPr="007622EB" w:rsidRDefault="00C715AC">
      <w:pPr>
        <w:pBdr>
          <w:bottom w:val="single" w:sz="6" w:space="2" w:color="2E5395"/>
        </w:pBdr>
        <w:spacing w:before="320" w:after="120"/>
        <w:rPr>
          <w:sz w:val="24"/>
        </w:rPr>
      </w:pPr>
      <w:r w:rsidRPr="007622EB">
        <w:rPr>
          <w:b/>
          <w:bCs/>
          <w:color w:val="2E5395"/>
          <w:sz w:val="32"/>
          <w:szCs w:val="26"/>
        </w:rPr>
        <w:t>N</w:t>
      </w:r>
    </w:p>
    <w:p w:rsidR="00DE3C74" w:rsidRPr="007622EB" w:rsidRDefault="00C715AC">
      <w:pPr>
        <w:spacing w:before="180" w:after="40"/>
        <w:rPr>
          <w:sz w:val="24"/>
        </w:rPr>
      </w:pPr>
      <w:r w:rsidRPr="007622EB">
        <w:rPr>
          <w:b/>
          <w:bCs/>
          <w:color w:val="1F3864"/>
          <w:sz w:val="28"/>
          <w:szCs w:val="22"/>
        </w:rPr>
        <w:t>NDA (Non-Disclosure Agreement)</w:t>
      </w:r>
    </w:p>
    <w:p w:rsidR="00DE3C74" w:rsidRPr="007622EB" w:rsidRDefault="00C715AC">
      <w:pPr>
        <w:spacing w:after="40"/>
        <w:rPr>
          <w:sz w:val="24"/>
        </w:rPr>
      </w:pPr>
      <w:r w:rsidRPr="007622EB">
        <w:rPr>
          <w:sz w:val="24"/>
        </w:rPr>
        <w:t>A legal agreement prohibiting someone from sharing confidential information they're exposed to — client data, business processes, pricing, etc.</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Required for every offshore hire (and any staff member) before they have any access to client records or internal systems.</w:t>
      </w:r>
    </w:p>
    <w:p w:rsidR="00DE3C74" w:rsidRPr="007622EB" w:rsidRDefault="00C715AC">
      <w:pPr>
        <w:pBdr>
          <w:bottom w:val="single" w:sz="6" w:space="2" w:color="2E5395"/>
        </w:pBdr>
        <w:spacing w:before="320" w:after="120"/>
        <w:rPr>
          <w:sz w:val="24"/>
        </w:rPr>
      </w:pPr>
      <w:r w:rsidRPr="007622EB">
        <w:rPr>
          <w:b/>
          <w:bCs/>
          <w:color w:val="2E5395"/>
          <w:sz w:val="32"/>
          <w:szCs w:val="26"/>
        </w:rPr>
        <w:t>O</w:t>
      </w:r>
    </w:p>
    <w:p w:rsidR="00DE3C74" w:rsidRPr="007622EB" w:rsidRDefault="00C715AC">
      <w:pPr>
        <w:spacing w:before="180" w:after="40"/>
        <w:rPr>
          <w:sz w:val="24"/>
        </w:rPr>
      </w:pPr>
      <w:r w:rsidRPr="007622EB">
        <w:rPr>
          <w:b/>
          <w:bCs/>
          <w:color w:val="1F3864"/>
          <w:sz w:val="28"/>
          <w:szCs w:val="22"/>
        </w:rPr>
        <w:t>Onboarding</w:t>
      </w:r>
    </w:p>
    <w:p w:rsidR="00DE3C74" w:rsidRPr="007622EB" w:rsidRDefault="00C715AC">
      <w:pPr>
        <w:spacing w:after="40"/>
        <w:rPr>
          <w:sz w:val="24"/>
        </w:rPr>
      </w:pPr>
      <w:r w:rsidRPr="007622EB">
        <w:rPr>
          <w:sz w:val="24"/>
        </w:rPr>
        <w:t>The structured process of setting up a new client from signed contract through a fully tested, live automation — collecting the Client Information Workbook, building the sub-account, running acceptance tests, and launching.</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 xml:space="preserve">A </w:t>
      </w:r>
      <w:proofErr w:type="spellStart"/>
      <w:r w:rsidRPr="007622EB">
        <w:rPr>
          <w:i/>
          <w:iCs/>
          <w:color w:val="595959"/>
          <w:sz w:val="22"/>
          <w:szCs w:val="19"/>
        </w:rPr>
        <w:t>templated</w:t>
      </w:r>
      <w:proofErr w:type="spellEnd"/>
      <w:r w:rsidRPr="007622EB">
        <w:rPr>
          <w:i/>
          <w:iCs/>
          <w:color w:val="595959"/>
          <w:sz w:val="22"/>
          <w:szCs w:val="19"/>
        </w:rPr>
        <w:t>, repeatable onboarding process is what makes scaling past a handful of clients possible without every engagement becoming a custom project.</w:t>
      </w:r>
    </w:p>
    <w:p w:rsidR="00DE3C74" w:rsidRPr="007622EB" w:rsidRDefault="00C715AC">
      <w:pPr>
        <w:spacing w:before="180" w:after="40"/>
        <w:rPr>
          <w:sz w:val="24"/>
        </w:rPr>
      </w:pPr>
      <w:r w:rsidRPr="007622EB">
        <w:rPr>
          <w:b/>
          <w:bCs/>
          <w:color w:val="1F3864"/>
          <w:sz w:val="28"/>
          <w:szCs w:val="22"/>
        </w:rPr>
        <w:t>Opt-in / Opt-out</w:t>
      </w:r>
    </w:p>
    <w:p w:rsidR="00DE3C74" w:rsidRPr="007622EB" w:rsidRDefault="00C715AC">
      <w:pPr>
        <w:spacing w:after="40"/>
        <w:rPr>
          <w:sz w:val="24"/>
        </w:rPr>
      </w:pPr>
      <w:r w:rsidRPr="007622EB">
        <w:rPr>
          <w:sz w:val="24"/>
        </w:rPr>
        <w:t>Opt-in: a lead's affirmative agreement to receive messages. Opt-out: a lead's request to stop receiving them (commonly triggered by replying STOP).</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Both must be tracked accurately in the CRM — opt-in determines whether messaging is legal in the first place; opt-out must be honored immediately.</w:t>
      </w:r>
    </w:p>
    <w:p w:rsidR="00DE3C74" w:rsidRPr="007622EB" w:rsidRDefault="00C715AC">
      <w:pPr>
        <w:pBdr>
          <w:bottom w:val="single" w:sz="6" w:space="2" w:color="2E5395"/>
        </w:pBdr>
        <w:spacing w:before="320" w:after="120"/>
        <w:rPr>
          <w:sz w:val="24"/>
        </w:rPr>
      </w:pPr>
      <w:r w:rsidRPr="007622EB">
        <w:rPr>
          <w:b/>
          <w:bCs/>
          <w:color w:val="2E5395"/>
          <w:sz w:val="32"/>
          <w:szCs w:val="26"/>
        </w:rPr>
        <w:t>P</w:t>
      </w:r>
    </w:p>
    <w:p w:rsidR="00DE3C74" w:rsidRPr="007622EB" w:rsidRDefault="00C715AC">
      <w:pPr>
        <w:spacing w:before="180" w:after="40"/>
        <w:rPr>
          <w:sz w:val="24"/>
        </w:rPr>
      </w:pPr>
      <w:r w:rsidRPr="007622EB">
        <w:rPr>
          <w:b/>
          <w:bCs/>
          <w:color w:val="1F3864"/>
          <w:sz w:val="28"/>
          <w:szCs w:val="22"/>
        </w:rPr>
        <w:t>Pipeline</w:t>
      </w:r>
    </w:p>
    <w:p w:rsidR="00DE3C74" w:rsidRPr="007622EB" w:rsidRDefault="00C715AC">
      <w:pPr>
        <w:spacing w:after="40"/>
        <w:rPr>
          <w:sz w:val="24"/>
        </w:rPr>
      </w:pPr>
      <w:r w:rsidRPr="007622EB">
        <w:rPr>
          <w:sz w:val="24"/>
        </w:rPr>
        <w:t>A defined series of stages a contact or lead moves through (e.g., NEW → AI ENGAGED → CALLBACK NEEDED → WON/LOST), visible in the CRM.</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Gives both Granite and the client visibility into exactly where every lead stands, instead of inquiries disappearing into voicemail or a shared inbox.</w:t>
      </w:r>
    </w:p>
    <w:p w:rsidR="00DE3C74" w:rsidRPr="007622EB" w:rsidRDefault="00C715AC">
      <w:pPr>
        <w:pBdr>
          <w:bottom w:val="single" w:sz="6" w:space="2" w:color="2E5395"/>
        </w:pBdr>
        <w:spacing w:before="320" w:after="120"/>
        <w:rPr>
          <w:sz w:val="24"/>
        </w:rPr>
      </w:pPr>
      <w:r w:rsidRPr="007622EB">
        <w:rPr>
          <w:b/>
          <w:bCs/>
          <w:color w:val="2E5395"/>
          <w:sz w:val="32"/>
          <w:szCs w:val="26"/>
        </w:rPr>
        <w:t>Q</w:t>
      </w:r>
    </w:p>
    <w:p w:rsidR="00DE3C74" w:rsidRPr="007622EB" w:rsidRDefault="00C715AC">
      <w:pPr>
        <w:spacing w:before="180" w:after="40"/>
        <w:rPr>
          <w:sz w:val="24"/>
        </w:rPr>
      </w:pPr>
      <w:r w:rsidRPr="007622EB">
        <w:rPr>
          <w:b/>
          <w:bCs/>
          <w:color w:val="1F3864"/>
          <w:sz w:val="28"/>
          <w:szCs w:val="22"/>
        </w:rPr>
        <w:t>QA (Quality Assurance)</w:t>
      </w:r>
    </w:p>
    <w:p w:rsidR="00DE3C74" w:rsidRPr="007622EB" w:rsidRDefault="00C715AC">
      <w:pPr>
        <w:spacing w:after="40"/>
        <w:rPr>
          <w:sz w:val="24"/>
        </w:rPr>
      </w:pPr>
      <w:r w:rsidRPr="007622EB">
        <w:rPr>
          <w:sz w:val="24"/>
        </w:rPr>
        <w:t>The ongoing process of checking that automations are behaving correctly — reviewing transcripts, checking failed workflows, confirming opt-outs are suppressed, per the daily/weekly checklist in Section 19.</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Not a one-time step at launch — QA is a continuous responsibility for as long as a client is active.</w:t>
      </w:r>
    </w:p>
    <w:p w:rsidR="00DE3C74" w:rsidRPr="007622EB" w:rsidRDefault="00C715AC">
      <w:pPr>
        <w:pBdr>
          <w:bottom w:val="single" w:sz="6" w:space="2" w:color="2E5395"/>
        </w:pBdr>
        <w:spacing w:before="320" w:after="120"/>
        <w:rPr>
          <w:sz w:val="24"/>
        </w:rPr>
      </w:pPr>
      <w:r w:rsidRPr="007622EB">
        <w:rPr>
          <w:b/>
          <w:bCs/>
          <w:color w:val="2E5395"/>
          <w:sz w:val="32"/>
          <w:szCs w:val="26"/>
        </w:rPr>
        <w:t>R</w:t>
      </w:r>
    </w:p>
    <w:p w:rsidR="00DE3C74" w:rsidRPr="007622EB" w:rsidRDefault="00C715AC">
      <w:pPr>
        <w:spacing w:before="180" w:after="40"/>
        <w:rPr>
          <w:sz w:val="24"/>
        </w:rPr>
      </w:pPr>
      <w:r w:rsidRPr="007622EB">
        <w:rPr>
          <w:b/>
          <w:bCs/>
          <w:color w:val="1F3864"/>
          <w:sz w:val="28"/>
          <w:szCs w:val="22"/>
        </w:rPr>
        <w:t>Rebilling</w:t>
      </w:r>
    </w:p>
    <w:p w:rsidR="00DE3C74" w:rsidRPr="007622EB" w:rsidRDefault="00C715AC">
      <w:pPr>
        <w:spacing w:after="40"/>
        <w:rPr>
          <w:sz w:val="24"/>
        </w:rPr>
      </w:pPr>
      <w:r w:rsidRPr="007622EB">
        <w:rPr>
          <w:sz w:val="24"/>
        </w:rPr>
        <w:t>A HighLevel agency feature that lets Granite pass through (and on the Agency Pro plan, mark up) platform usage costs like phone and SMS to individual client sub-accounts.</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Relevant mainly at scale (Unlimited/Agency Pro tiers) — not needed for early-stage manual invoicing.</w:t>
      </w:r>
    </w:p>
    <w:p w:rsidR="00DE3C74" w:rsidRPr="007622EB" w:rsidRDefault="00C715AC">
      <w:pPr>
        <w:pBdr>
          <w:bottom w:val="single" w:sz="6" w:space="2" w:color="2E5395"/>
        </w:pBdr>
        <w:spacing w:before="320" w:after="120"/>
        <w:rPr>
          <w:sz w:val="24"/>
        </w:rPr>
      </w:pPr>
      <w:r w:rsidRPr="007622EB">
        <w:rPr>
          <w:b/>
          <w:bCs/>
          <w:color w:val="2E5395"/>
          <w:sz w:val="32"/>
          <w:szCs w:val="26"/>
        </w:rPr>
        <w:t>S</w:t>
      </w:r>
    </w:p>
    <w:p w:rsidR="00DE3C74" w:rsidRPr="007622EB" w:rsidRDefault="00C715AC">
      <w:pPr>
        <w:spacing w:before="180" w:after="40"/>
        <w:rPr>
          <w:sz w:val="24"/>
        </w:rPr>
      </w:pPr>
      <w:r w:rsidRPr="007622EB">
        <w:rPr>
          <w:b/>
          <w:bCs/>
          <w:color w:val="1F3864"/>
          <w:sz w:val="28"/>
          <w:szCs w:val="22"/>
        </w:rPr>
        <w:t>SaaS Mode</w:t>
      </w:r>
    </w:p>
    <w:p w:rsidR="00DE3C74" w:rsidRPr="007622EB" w:rsidRDefault="00C715AC">
      <w:pPr>
        <w:spacing w:after="40"/>
        <w:rPr>
          <w:sz w:val="24"/>
        </w:rPr>
      </w:pPr>
      <w:r w:rsidRPr="007622EB">
        <w:rPr>
          <w:sz w:val="24"/>
        </w:rPr>
        <w:t>A HighLevel Agency Pro feature that turns the platform into a self-serve, sellable product — clients sign up and pay automatically without manual account creation.</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 xml:space="preserve">Built for a different business model than Granite's current hands-on, manually </w:t>
      </w:r>
      <w:proofErr w:type="spellStart"/>
      <w:r w:rsidRPr="007622EB">
        <w:rPr>
          <w:i/>
          <w:iCs/>
          <w:color w:val="595959"/>
          <w:sz w:val="22"/>
          <w:szCs w:val="19"/>
        </w:rPr>
        <w:t>onboarded</w:t>
      </w:r>
      <w:proofErr w:type="spellEnd"/>
      <w:r w:rsidRPr="007622EB">
        <w:rPr>
          <w:i/>
          <w:iCs/>
          <w:color w:val="595959"/>
          <w:sz w:val="22"/>
          <w:szCs w:val="19"/>
        </w:rPr>
        <w:t xml:space="preserve"> approach — not needed at launch or through the early growth phases.</w:t>
      </w:r>
    </w:p>
    <w:p w:rsidR="00DE3C74" w:rsidRPr="007622EB" w:rsidRDefault="00C715AC">
      <w:pPr>
        <w:spacing w:before="180" w:after="40"/>
        <w:rPr>
          <w:sz w:val="24"/>
        </w:rPr>
      </w:pPr>
      <w:r w:rsidRPr="007622EB">
        <w:rPr>
          <w:b/>
          <w:bCs/>
          <w:color w:val="1F3864"/>
          <w:sz w:val="28"/>
          <w:szCs w:val="22"/>
        </w:rPr>
        <w:t>Sandbox</w:t>
      </w:r>
    </w:p>
    <w:p w:rsidR="00DE3C74" w:rsidRPr="007622EB" w:rsidRDefault="00C715AC">
      <w:pPr>
        <w:spacing w:after="40"/>
        <w:rPr>
          <w:sz w:val="24"/>
        </w:rPr>
      </w:pPr>
      <w:r w:rsidRPr="007622EB">
        <w:rPr>
          <w:sz w:val="24"/>
        </w:rPr>
        <w:t>An isolated test environment (a demo location, or a test contact/phone number) used to try out a workflow without affecting real client data or messaging real consumers.</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All new builds and changes should be tested in a sandbox before touching a live client's automation.</w:t>
      </w:r>
    </w:p>
    <w:p w:rsidR="00DE3C74" w:rsidRPr="007622EB" w:rsidRDefault="00C715AC">
      <w:pPr>
        <w:spacing w:before="180" w:after="40"/>
        <w:rPr>
          <w:sz w:val="24"/>
        </w:rPr>
      </w:pPr>
      <w:r w:rsidRPr="007622EB">
        <w:rPr>
          <w:b/>
          <w:bCs/>
          <w:color w:val="1F3864"/>
          <w:sz w:val="28"/>
          <w:szCs w:val="22"/>
        </w:rPr>
        <w:t>Scope Creep</w:t>
      </w:r>
    </w:p>
    <w:p w:rsidR="00DE3C74" w:rsidRPr="007622EB" w:rsidRDefault="00C715AC">
      <w:pPr>
        <w:spacing w:after="40"/>
        <w:rPr>
          <w:sz w:val="24"/>
        </w:rPr>
      </w:pPr>
      <w:r w:rsidRPr="007622EB">
        <w:rPr>
          <w:sz w:val="24"/>
        </w:rPr>
        <w:t>The gradual expansion of a project's requirements beyond what was originally agreed — usually through a series of individually reasonable-seeming add-on requests.</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A major risk with Tier 3 clients especially (Section D risk matrix) — contain it with a narrowly written Statement of Work and formal change orders for anything beyond it.</w:t>
      </w:r>
    </w:p>
    <w:p w:rsidR="00DE3C74" w:rsidRPr="007622EB" w:rsidRDefault="00C715AC">
      <w:pPr>
        <w:spacing w:before="180" w:after="40"/>
        <w:rPr>
          <w:sz w:val="24"/>
        </w:rPr>
      </w:pPr>
      <w:r w:rsidRPr="007622EB">
        <w:rPr>
          <w:b/>
          <w:bCs/>
          <w:color w:val="1F3864"/>
          <w:sz w:val="28"/>
          <w:szCs w:val="22"/>
        </w:rPr>
        <w:t>SLA (Service-Level Agreement) / Uptime</w:t>
      </w:r>
    </w:p>
    <w:p w:rsidR="00DE3C74" w:rsidRPr="007622EB" w:rsidRDefault="00C715AC">
      <w:pPr>
        <w:spacing w:after="40"/>
        <w:rPr>
          <w:sz w:val="24"/>
        </w:rPr>
      </w:pPr>
      <w:r w:rsidRPr="007622EB">
        <w:rPr>
          <w:sz w:val="24"/>
        </w:rPr>
        <w:t>A formal commitment about response times, availability, or support hours that a vendor promises a client — e.g., “we respond to critical issues within 4 business hours.”</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Be explicit and conservative about what's promised here — a small operation shouldn't imply enterprise-grade guarantees it can't realistically staff to meet.</w:t>
      </w:r>
    </w:p>
    <w:p w:rsidR="00DE3C74" w:rsidRPr="007622EB" w:rsidRDefault="00C715AC">
      <w:pPr>
        <w:spacing w:before="180" w:after="40"/>
        <w:rPr>
          <w:sz w:val="24"/>
        </w:rPr>
      </w:pPr>
      <w:r w:rsidRPr="007622EB">
        <w:rPr>
          <w:b/>
          <w:bCs/>
          <w:color w:val="1F3864"/>
          <w:sz w:val="28"/>
          <w:szCs w:val="22"/>
        </w:rPr>
        <w:t>Snapshot</w:t>
      </w:r>
    </w:p>
    <w:p w:rsidR="00DE3C74" w:rsidRPr="007622EB" w:rsidRDefault="00C715AC">
      <w:pPr>
        <w:spacing w:after="40"/>
        <w:rPr>
          <w:sz w:val="24"/>
        </w:rPr>
      </w:pPr>
      <w:r w:rsidRPr="007622EB">
        <w:rPr>
          <w:sz w:val="24"/>
        </w:rPr>
        <w:t>A saved, reusable copy of a HighLevel sub-account's configuration (pipeline, workflows, custom fields) that can be loaded into a new client's Location as a starting template.</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The core tool that makes onboarding fast and repeatable instead of building every new client's automation from scratch.</w:t>
      </w:r>
    </w:p>
    <w:p w:rsidR="00DE3C74" w:rsidRPr="007622EB" w:rsidRDefault="00C715AC">
      <w:pPr>
        <w:spacing w:before="180" w:after="40"/>
        <w:rPr>
          <w:sz w:val="24"/>
        </w:rPr>
      </w:pPr>
      <w:r w:rsidRPr="007622EB">
        <w:rPr>
          <w:b/>
          <w:bCs/>
          <w:color w:val="1F3864"/>
          <w:sz w:val="28"/>
          <w:szCs w:val="22"/>
        </w:rPr>
        <w:t>STOP Request</w:t>
      </w:r>
    </w:p>
    <w:p w:rsidR="00DE3C74" w:rsidRPr="007622EB" w:rsidRDefault="00C715AC">
      <w:pPr>
        <w:spacing w:after="40"/>
        <w:rPr>
          <w:sz w:val="24"/>
        </w:rPr>
      </w:pPr>
      <w:r w:rsidRPr="007622EB">
        <w:rPr>
          <w:sz w:val="24"/>
        </w:rPr>
        <w:t>A consumer replying “STOP” (or an equivalent phrase like “unsubscribe”) to an automated text, which legally requires the business to cease messaging them.</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Must be honored immediately and automatically — this is tested explicitly in the acceptance test suite (Section 14).</w:t>
      </w:r>
    </w:p>
    <w:p w:rsidR="00DE3C74" w:rsidRPr="007622EB" w:rsidRDefault="00C715AC">
      <w:pPr>
        <w:spacing w:before="180" w:after="40"/>
        <w:rPr>
          <w:sz w:val="24"/>
        </w:rPr>
      </w:pPr>
      <w:r w:rsidRPr="007622EB">
        <w:rPr>
          <w:b/>
          <w:bCs/>
          <w:color w:val="1F3864"/>
          <w:sz w:val="28"/>
          <w:szCs w:val="22"/>
        </w:rPr>
        <w:t>Sub-account</w:t>
      </w:r>
    </w:p>
    <w:p w:rsidR="00DE3C74" w:rsidRPr="007622EB" w:rsidRDefault="00C715AC">
      <w:pPr>
        <w:spacing w:after="40"/>
        <w:rPr>
          <w:sz w:val="24"/>
        </w:rPr>
      </w:pPr>
      <w:r w:rsidRPr="007622EB">
        <w:rPr>
          <w:sz w:val="24"/>
        </w:rPr>
        <w:t>See Location.</w:t>
      </w:r>
    </w:p>
    <w:p w:rsidR="00DE3C74" w:rsidRPr="007622EB" w:rsidRDefault="00C715AC">
      <w:pPr>
        <w:pBdr>
          <w:bottom w:val="single" w:sz="6" w:space="2" w:color="2E5395"/>
        </w:pBdr>
        <w:spacing w:before="320" w:after="120"/>
        <w:rPr>
          <w:sz w:val="24"/>
        </w:rPr>
      </w:pPr>
      <w:r w:rsidRPr="007622EB">
        <w:rPr>
          <w:b/>
          <w:bCs/>
          <w:color w:val="2E5395"/>
          <w:sz w:val="32"/>
          <w:szCs w:val="26"/>
        </w:rPr>
        <w:t>T</w:t>
      </w:r>
    </w:p>
    <w:p w:rsidR="00DE3C74" w:rsidRPr="007622EB" w:rsidRDefault="00C715AC">
      <w:pPr>
        <w:spacing w:before="180" w:after="40"/>
        <w:rPr>
          <w:sz w:val="24"/>
        </w:rPr>
      </w:pPr>
      <w:r w:rsidRPr="007622EB">
        <w:rPr>
          <w:b/>
          <w:bCs/>
          <w:color w:val="1F3864"/>
          <w:sz w:val="28"/>
          <w:szCs w:val="22"/>
        </w:rPr>
        <w:t>TCPA (Telephone Consumer Protection Act)</w:t>
      </w:r>
    </w:p>
    <w:p w:rsidR="00DE3C74" w:rsidRPr="007622EB" w:rsidRDefault="00C715AC">
      <w:pPr>
        <w:spacing w:after="40"/>
        <w:rPr>
          <w:sz w:val="24"/>
        </w:rPr>
      </w:pPr>
      <w:r w:rsidRPr="007622EB">
        <w:rPr>
          <w:sz w:val="24"/>
        </w:rPr>
        <w:t>The U.S. federal law governing automated calls and texts to consumers, including current FCC treatment of AI-generated voice as “artificial/prerecorded voice” requiring consent.</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The reason AI voice stays off at launch (Section 3) and why SMS consent processes are treated as a compliance-critical, not optional, part of every build.</w:t>
      </w:r>
    </w:p>
    <w:p w:rsidR="00DE3C74" w:rsidRPr="007622EB" w:rsidRDefault="00C715AC">
      <w:pPr>
        <w:spacing w:before="180" w:after="40"/>
        <w:rPr>
          <w:sz w:val="24"/>
        </w:rPr>
      </w:pPr>
      <w:r w:rsidRPr="007622EB">
        <w:rPr>
          <w:b/>
          <w:bCs/>
          <w:color w:val="1F3864"/>
          <w:sz w:val="28"/>
          <w:szCs w:val="22"/>
        </w:rPr>
        <w:t>Trust Center</w:t>
      </w:r>
    </w:p>
    <w:p w:rsidR="00DE3C74" w:rsidRPr="007622EB" w:rsidRDefault="00C715AC">
      <w:pPr>
        <w:spacing w:after="40"/>
        <w:rPr>
          <w:sz w:val="24"/>
        </w:rPr>
      </w:pPr>
      <w:proofErr w:type="spellStart"/>
      <w:r w:rsidRPr="007622EB">
        <w:rPr>
          <w:sz w:val="24"/>
        </w:rPr>
        <w:t>HighLevel's</w:t>
      </w:r>
      <w:proofErr w:type="spellEnd"/>
      <w:r w:rsidRPr="007622EB">
        <w:rPr>
          <w:sz w:val="24"/>
        </w:rPr>
        <w:t xml:space="preserve"> portal for submitting and managing A2P 10DLC brand and campaign registration.</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Where A2P registration actually happens — pricing and requirements here should be verified immediately before each new registration, since they can change.</w:t>
      </w:r>
    </w:p>
    <w:p w:rsidR="00DE3C74" w:rsidRPr="007622EB" w:rsidRDefault="00C715AC">
      <w:pPr>
        <w:pBdr>
          <w:bottom w:val="single" w:sz="6" w:space="2" w:color="2E5395"/>
        </w:pBdr>
        <w:spacing w:before="320" w:after="120"/>
        <w:rPr>
          <w:sz w:val="24"/>
        </w:rPr>
      </w:pPr>
      <w:r w:rsidRPr="007622EB">
        <w:rPr>
          <w:b/>
          <w:bCs/>
          <w:color w:val="2E5395"/>
          <w:sz w:val="32"/>
          <w:szCs w:val="26"/>
        </w:rPr>
        <w:t>U</w:t>
      </w:r>
    </w:p>
    <w:p w:rsidR="00DE3C74" w:rsidRPr="007622EB" w:rsidRDefault="00C715AC">
      <w:pPr>
        <w:spacing w:before="180" w:after="40"/>
        <w:rPr>
          <w:sz w:val="24"/>
        </w:rPr>
      </w:pPr>
      <w:r w:rsidRPr="007622EB">
        <w:rPr>
          <w:b/>
          <w:bCs/>
          <w:color w:val="1F3864"/>
          <w:sz w:val="28"/>
          <w:szCs w:val="22"/>
        </w:rPr>
        <w:t>Use Case (Messaging Use Case)</w:t>
      </w:r>
    </w:p>
    <w:p w:rsidR="00DE3C74" w:rsidRPr="007622EB" w:rsidRDefault="00C715AC">
      <w:pPr>
        <w:spacing w:after="40"/>
        <w:rPr>
          <w:sz w:val="24"/>
        </w:rPr>
      </w:pPr>
      <w:r w:rsidRPr="007622EB">
        <w:rPr>
          <w:sz w:val="24"/>
        </w:rPr>
        <w:t>The specific, carrier-approved category and description of what a business's automated texts are for (e.g., “customer care,” “mixed”), registered as part of A2P 10DLC.</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The use case registered must genuinely match what the client's messages actually do — choosing a category just because it's cheaper is a compliance risk (Section 7).</w:t>
      </w:r>
    </w:p>
    <w:p w:rsidR="00DE3C74" w:rsidRPr="007622EB" w:rsidRDefault="00C715AC">
      <w:pPr>
        <w:pBdr>
          <w:bottom w:val="single" w:sz="6" w:space="2" w:color="2E5395"/>
        </w:pBdr>
        <w:spacing w:before="320" w:after="120"/>
        <w:rPr>
          <w:sz w:val="24"/>
        </w:rPr>
      </w:pPr>
      <w:r w:rsidRPr="007622EB">
        <w:rPr>
          <w:b/>
          <w:bCs/>
          <w:color w:val="2E5395"/>
          <w:sz w:val="32"/>
          <w:szCs w:val="26"/>
        </w:rPr>
        <w:t>V</w:t>
      </w:r>
    </w:p>
    <w:p w:rsidR="00DE3C74" w:rsidRPr="007622EB" w:rsidRDefault="00C715AC">
      <w:pPr>
        <w:spacing w:before="180" w:after="40"/>
        <w:rPr>
          <w:sz w:val="24"/>
        </w:rPr>
      </w:pPr>
      <w:r w:rsidRPr="007622EB">
        <w:rPr>
          <w:b/>
          <w:bCs/>
          <w:color w:val="1F3864"/>
          <w:sz w:val="28"/>
          <w:szCs w:val="22"/>
        </w:rPr>
        <w:t>VA (Virtual Assistant)</w:t>
      </w:r>
    </w:p>
    <w:p w:rsidR="00DE3C74" w:rsidRPr="007622EB" w:rsidRDefault="00C715AC">
      <w:pPr>
        <w:spacing w:after="40"/>
        <w:rPr>
          <w:sz w:val="24"/>
        </w:rPr>
      </w:pPr>
      <w:r w:rsidRPr="007622EB">
        <w:rPr>
          <w:sz w:val="24"/>
        </w:rPr>
        <w:t>A remote staff member handling administrative and research tasks. A “generalist VA” (Granite's first hire) covers broad, low-sensitivity work — prospect research, CRM hygiene, report assembly — without touching live client automations or PII-sensitive systems.</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The deliberate first hire in the staffing roadmap, precisely because the risk profile is low compared to a platform technician with client data access.</w:t>
      </w:r>
    </w:p>
    <w:p w:rsidR="00DE3C74" w:rsidRPr="007622EB" w:rsidRDefault="00C715AC">
      <w:pPr>
        <w:pBdr>
          <w:bottom w:val="single" w:sz="6" w:space="2" w:color="2E5395"/>
        </w:pBdr>
        <w:spacing w:before="320" w:after="120"/>
        <w:rPr>
          <w:sz w:val="24"/>
        </w:rPr>
      </w:pPr>
      <w:r w:rsidRPr="007622EB">
        <w:rPr>
          <w:b/>
          <w:bCs/>
          <w:color w:val="2E5395"/>
          <w:sz w:val="32"/>
          <w:szCs w:val="26"/>
        </w:rPr>
        <w:t>W</w:t>
      </w:r>
    </w:p>
    <w:p w:rsidR="00DE3C74" w:rsidRPr="007622EB" w:rsidRDefault="00C715AC">
      <w:pPr>
        <w:spacing w:before="180" w:after="40"/>
        <w:rPr>
          <w:sz w:val="24"/>
        </w:rPr>
      </w:pPr>
      <w:r w:rsidRPr="007622EB">
        <w:rPr>
          <w:b/>
          <w:bCs/>
          <w:color w:val="1F3864"/>
          <w:sz w:val="28"/>
          <w:szCs w:val="22"/>
        </w:rPr>
        <w:t>White Label</w:t>
      </w:r>
    </w:p>
    <w:p w:rsidR="00DE3C74" w:rsidRPr="007622EB" w:rsidRDefault="00C715AC">
      <w:pPr>
        <w:spacing w:after="40"/>
        <w:rPr>
          <w:sz w:val="24"/>
        </w:rPr>
      </w:pPr>
      <w:r w:rsidRPr="007622EB">
        <w:rPr>
          <w:sz w:val="24"/>
        </w:rPr>
        <w:t xml:space="preserve">A HighLevel feature (Unlimited plan and above) that replaces </w:t>
      </w:r>
      <w:proofErr w:type="spellStart"/>
      <w:r w:rsidRPr="007622EB">
        <w:rPr>
          <w:sz w:val="24"/>
        </w:rPr>
        <w:t>HighLevel's</w:t>
      </w:r>
      <w:proofErr w:type="spellEnd"/>
      <w:r w:rsidRPr="007622EB">
        <w:rPr>
          <w:sz w:val="24"/>
        </w:rPr>
        <w:t xml:space="preserve"> own branding with the agency's — custom domain, logo, and login screen — so clients see “Granite Signal Systems,” not HighLevel.</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Not needed at launch; relevant only once client volume or brand positioning makes it worthwhile.</w:t>
      </w:r>
    </w:p>
    <w:p w:rsidR="00DE3C74" w:rsidRPr="007622EB" w:rsidRDefault="00C715AC">
      <w:pPr>
        <w:spacing w:before="180" w:after="40"/>
        <w:rPr>
          <w:sz w:val="24"/>
        </w:rPr>
      </w:pPr>
      <w:r w:rsidRPr="007622EB">
        <w:rPr>
          <w:b/>
          <w:bCs/>
          <w:color w:val="1F3864"/>
          <w:sz w:val="28"/>
          <w:szCs w:val="22"/>
        </w:rPr>
        <w:t>Workflow</w:t>
      </w:r>
    </w:p>
    <w:p w:rsidR="00DE3C74" w:rsidRPr="007622EB" w:rsidRDefault="00C715AC">
      <w:pPr>
        <w:spacing w:after="40"/>
        <w:rPr>
          <w:sz w:val="24"/>
        </w:rPr>
      </w:pPr>
      <w:r w:rsidRPr="007622EB">
        <w:rPr>
          <w:sz w:val="24"/>
        </w:rPr>
        <w:t>An automated sequence of actions in HighLevel triggered by an event (e.g., a form submission) — create contact, send acknowledgment, start Conversation AI, check for safety flags, route to callback or booking.</w:t>
      </w:r>
    </w:p>
    <w:p w:rsidR="00DE3C74" w:rsidRPr="007622EB" w:rsidRDefault="00C715AC">
      <w:pPr>
        <w:spacing w:after="160"/>
        <w:ind w:left="200"/>
        <w:rPr>
          <w:sz w:val="24"/>
        </w:rPr>
      </w:pPr>
      <w:r w:rsidRPr="007622EB">
        <w:rPr>
          <w:b/>
          <w:bCs/>
          <w:i/>
          <w:iCs/>
          <w:color w:val="595959"/>
          <w:sz w:val="22"/>
          <w:szCs w:val="19"/>
        </w:rPr>
        <w:t xml:space="preserve">Why it matters: </w:t>
      </w:r>
      <w:r w:rsidRPr="007622EB">
        <w:rPr>
          <w:i/>
          <w:iCs/>
          <w:color w:val="595959"/>
          <w:sz w:val="22"/>
          <w:szCs w:val="19"/>
        </w:rPr>
        <w:t>The backbone of the entire service — every client's “lead response system” is, technically, one or more configured workflows.</w:t>
      </w:r>
    </w:p>
    <w:p w:rsidR="00DE3C74" w:rsidRPr="007622EB" w:rsidRDefault="00DE3C74">
      <w:pPr>
        <w:spacing w:after="160"/>
        <w:rPr>
          <w:sz w:val="24"/>
        </w:rPr>
      </w:pPr>
    </w:p>
    <w:p w:rsidR="00DE3C74" w:rsidRPr="007622EB" w:rsidRDefault="00C715AC">
      <w:pPr>
        <w:spacing w:before="300"/>
        <w:rPr>
          <w:sz w:val="24"/>
        </w:rPr>
      </w:pPr>
      <w:r w:rsidRPr="007622EB">
        <w:rPr>
          <w:i/>
          <w:iCs/>
          <w:color w:val="595959"/>
          <w:sz w:val="22"/>
          <w:szCs w:val="19"/>
        </w:rPr>
        <w:t>This glossary is a living reference — add new terms as they come up in client work, platform updates, or compliance guidance, and confirm current definitions (especially A2P/TCPA rules and HighLevel feature names) against official sources before relying on them for compliance decisions.</w:t>
      </w:r>
    </w:p>
    <w:sectPr w:rsidR="00DE3C74" w:rsidRPr="007622E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0968B6"/>
    <w:multiLevelType w:val="hybridMultilevel"/>
    <w:tmpl w:val="ABCA0BE2"/>
    <w:lvl w:ilvl="0" w:tplc="297E1314">
      <w:start w:val="1"/>
      <w:numFmt w:val="bullet"/>
      <w:lvlText w:val="●"/>
      <w:lvlJc w:val="left"/>
      <w:pPr>
        <w:ind w:left="720" w:hanging="360"/>
      </w:pPr>
    </w:lvl>
    <w:lvl w:ilvl="1" w:tplc="40B6D0AA">
      <w:start w:val="1"/>
      <w:numFmt w:val="bullet"/>
      <w:lvlText w:val="○"/>
      <w:lvlJc w:val="left"/>
      <w:pPr>
        <w:ind w:left="1440" w:hanging="360"/>
      </w:pPr>
    </w:lvl>
    <w:lvl w:ilvl="2" w:tplc="9BBC070A">
      <w:start w:val="1"/>
      <w:numFmt w:val="bullet"/>
      <w:lvlText w:val="■"/>
      <w:lvlJc w:val="left"/>
      <w:pPr>
        <w:ind w:left="2160" w:hanging="360"/>
      </w:pPr>
    </w:lvl>
    <w:lvl w:ilvl="3" w:tplc="48E6EE16">
      <w:start w:val="1"/>
      <w:numFmt w:val="bullet"/>
      <w:lvlText w:val="●"/>
      <w:lvlJc w:val="left"/>
      <w:pPr>
        <w:ind w:left="2880" w:hanging="360"/>
      </w:pPr>
    </w:lvl>
    <w:lvl w:ilvl="4" w:tplc="59C2FBD0">
      <w:start w:val="1"/>
      <w:numFmt w:val="bullet"/>
      <w:lvlText w:val="○"/>
      <w:lvlJc w:val="left"/>
      <w:pPr>
        <w:ind w:left="3600" w:hanging="360"/>
      </w:pPr>
    </w:lvl>
    <w:lvl w:ilvl="5" w:tplc="FFFACEC0">
      <w:start w:val="1"/>
      <w:numFmt w:val="bullet"/>
      <w:lvlText w:val="■"/>
      <w:lvlJc w:val="left"/>
      <w:pPr>
        <w:ind w:left="4320" w:hanging="360"/>
      </w:pPr>
    </w:lvl>
    <w:lvl w:ilvl="6" w:tplc="1736BB80">
      <w:start w:val="1"/>
      <w:numFmt w:val="bullet"/>
      <w:lvlText w:val="●"/>
      <w:lvlJc w:val="left"/>
      <w:pPr>
        <w:ind w:left="5040" w:hanging="360"/>
      </w:pPr>
    </w:lvl>
    <w:lvl w:ilvl="7" w:tplc="B7A006E6">
      <w:start w:val="1"/>
      <w:numFmt w:val="bullet"/>
      <w:lvlText w:val="●"/>
      <w:lvlJc w:val="left"/>
      <w:pPr>
        <w:ind w:left="5760" w:hanging="360"/>
      </w:pPr>
    </w:lvl>
    <w:lvl w:ilvl="8" w:tplc="1F5E99A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3C74"/>
    <w:rsid w:val="005F516C"/>
    <w:rsid w:val="007622EB"/>
    <w:rsid w:val="007A4F39"/>
    <w:rsid w:val="00C715AC"/>
    <w:rsid w:val="00DE3C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753D5"/>
  <w15:docId w15:val="{CABB330D-7097-43E2-AFB3-6034608B6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8" w:space="4" w:color="1F3864"/>
      </w:pBdr>
      <w:spacing w:before="360" w:after="200"/>
      <w:outlineLvl w:val="0"/>
    </w:pPr>
    <w:rPr>
      <w:b/>
      <w:bCs/>
      <w:color w:val="1F3864"/>
      <w:sz w:val="30"/>
      <w:szCs w:val="30"/>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2281</Words>
  <Characters>13004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3</cp:revision>
  <dcterms:created xsi:type="dcterms:W3CDTF">2026-08-21T23:25:00Z</dcterms:created>
  <dcterms:modified xsi:type="dcterms:W3CDTF">2026-09-05T21:20:00Z</dcterms:modified>
</cp:coreProperties>
</file>