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47D" w:rsidRDefault="00D5419E">
      <w:pPr>
        <w:spacing w:before="1800" w:after="100"/>
        <w:jc w:val="center"/>
      </w:pPr>
      <w:r>
        <w:rPr>
          <w:b/>
          <w:bCs/>
          <w:color w:val="1F3864"/>
          <w:sz w:val="44"/>
          <w:szCs w:val="44"/>
        </w:rPr>
        <w:t>GRANITE SIGNAL SYSTEMS</w:t>
      </w:r>
    </w:p>
    <w:p w:rsidR="00A4347D" w:rsidRDefault="00D5419E">
      <w:pPr>
        <w:spacing w:after="100"/>
        <w:jc w:val="center"/>
      </w:pPr>
      <w:r>
        <w:rPr>
          <w:b/>
          <w:bCs/>
          <w:color w:val="2E5395"/>
          <w:sz w:val="32"/>
          <w:szCs w:val="32"/>
        </w:rPr>
        <w:t>White Label Implementation Plan</w:t>
      </w:r>
    </w:p>
    <w:p w:rsidR="00A4347D" w:rsidRDefault="00D5419E">
      <w:pPr>
        <w:spacing w:after="60"/>
        <w:jc w:val="center"/>
      </w:pPr>
      <w:r>
        <w:rPr>
          <w:color w:val="595959"/>
          <w:sz w:val="24"/>
          <w:szCs w:val="24"/>
        </w:rPr>
        <w:t>Custom Domain, Logo &amp; Login Branding on HighLevel</w:t>
      </w:r>
    </w:p>
    <w:p w:rsidR="00A4347D" w:rsidRDefault="00D5419E">
      <w:pPr>
        <w:spacing w:before="300" w:after="60"/>
        <w:jc w:val="center"/>
      </w:pPr>
      <w:r>
        <w:rPr>
          <w:i/>
          <w:iCs/>
          <w:sz w:val="22"/>
          <w:szCs w:val="22"/>
        </w:rPr>
        <w:t>An Isolated, Standalone Plan — Companion to the Master Execution Plan V2.0</w:t>
      </w:r>
    </w:p>
    <w:p w:rsidR="00A4347D" w:rsidRDefault="00D5419E">
      <w:pPr>
        <w:spacing w:before="600"/>
        <w:jc w:val="center"/>
      </w:pPr>
      <w:r>
        <w:rPr>
          <w:color w:val="595959"/>
          <w:sz w:val="20"/>
          <w:szCs w:val="20"/>
        </w:rPr>
        <w:t>Prepared August 21, 2026</w:t>
      </w:r>
    </w:p>
    <w:p w:rsidR="00A4347D" w:rsidRDefault="00D5419E">
      <w:r>
        <w:br w:type="page"/>
      </w:r>
    </w:p>
    <w:p w:rsidR="00A4347D" w:rsidRPr="00A3745E" w:rsidRDefault="00D5419E">
      <w:pPr>
        <w:pStyle w:val="Heading1"/>
        <w:spacing w:before="400"/>
        <w:rPr>
          <w:sz w:val="36"/>
        </w:rPr>
      </w:pPr>
      <w:r w:rsidRPr="00A3745E">
        <w:rPr>
          <w:sz w:val="36"/>
        </w:rPr>
        <w:lastRenderedPageBreak/>
        <w:t>Scope of This Plan</w:t>
      </w:r>
    </w:p>
    <w:p w:rsidR="00A4347D" w:rsidRPr="00A3745E" w:rsidRDefault="00D5419E">
      <w:pPr>
        <w:spacing w:after="160"/>
        <w:rPr>
          <w:sz w:val="24"/>
        </w:rPr>
      </w:pPr>
      <w:r w:rsidRPr="00A3745E">
        <w:rPr>
          <w:sz w:val="24"/>
        </w:rPr>
        <w:t>This document is scoped narrowly to White Labeling — replacing HighLevel's own branding with Granite Signal Systems' custom domain, logo, and login screen so clients see “Granite Signal Systems,” not HighLevel. It does not cover SaaS Mode (self-serve clien</w:t>
      </w:r>
      <w:r w:rsidRPr="00A3745E">
        <w:rPr>
          <w:sz w:val="24"/>
        </w:rPr>
        <w:t>t billing, automated sub-account creation, and rebilling with markup) — a separate, higher-tier HighLevel feature set that the Master Execution Plan's Section 7 explicitly defers (“Do NOT buy at launch”). White Labeling and SaaS Mode are frequently bundled</w:t>
      </w:r>
      <w:r w:rsidRPr="00A3745E">
        <w:rPr>
          <w:sz w:val="24"/>
        </w:rPr>
        <w:t xml:space="preserve"> together in HighLevel's own marketing, but they solve different problems and sit at different price points. This plan treats them as distinct decisions.</w:t>
      </w:r>
    </w:p>
    <w:p w:rsidR="00A4347D" w:rsidRPr="00A3745E" w:rsidRDefault="00D5419E">
      <w:pPr>
        <w:shd w:val="clear" w:color="auto" w:fill="FFF3CD"/>
        <w:spacing w:before="120" w:after="200"/>
        <w:ind w:left="100" w:right="100"/>
        <w:rPr>
          <w:sz w:val="24"/>
        </w:rPr>
      </w:pPr>
      <w:r w:rsidRPr="00A3745E">
        <w:rPr>
          <w:b/>
          <w:bCs/>
          <w:color w:val="9C6500"/>
          <w:sz w:val="24"/>
        </w:rPr>
        <w:t>⚠</w:t>
      </w:r>
      <w:r w:rsidRPr="00A3745E">
        <w:rPr>
          <w:b/>
          <w:bCs/>
          <w:color w:val="9C6500"/>
          <w:sz w:val="24"/>
        </w:rPr>
        <w:t xml:space="preserve"> </w:t>
      </w:r>
      <w:r w:rsidR="00D2744C">
        <w:rPr>
          <w:b/>
          <w:bCs/>
          <w:color w:val="9C6500"/>
          <w:sz w:val="24"/>
        </w:rPr>
        <w:t xml:space="preserve"> </w:t>
      </w:r>
      <w:r w:rsidRPr="00A3745E">
        <w:rPr>
          <w:b/>
          <w:bCs/>
          <w:color w:val="9C6500"/>
          <w:sz w:val="24"/>
          <w:szCs w:val="20"/>
        </w:rPr>
        <w:t>Current HighLevel pricing confirms Basic White Label (custom login domain, logo, brand colors, brand</w:t>
      </w:r>
      <w:r w:rsidRPr="00A3745E">
        <w:rPr>
          <w:b/>
          <w:bCs/>
          <w:color w:val="9C6500"/>
          <w:sz w:val="24"/>
          <w:szCs w:val="20"/>
        </w:rPr>
        <w:t>ed email notifications) requires the Unlimited plan at $297/month. The Starter plan ($97/month) does not include white-label features. SaaS Mode requires Agency Pro at $497/month and is out of scope here.</w:t>
      </w:r>
    </w:p>
    <w:p w:rsidR="00A4347D" w:rsidRPr="00A3745E" w:rsidRDefault="00D5419E">
      <w:pPr>
        <w:pStyle w:val="Heading1"/>
        <w:spacing w:before="400"/>
        <w:rPr>
          <w:sz w:val="36"/>
        </w:rPr>
      </w:pPr>
      <w:r w:rsidRPr="00A3745E">
        <w:rPr>
          <w:sz w:val="36"/>
        </w:rPr>
        <w:t>A. Cost Overview</w:t>
      </w: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>One-Time / Setup Costs</w:t>
      </w:r>
    </w:p>
    <w:tbl>
      <w:tblPr>
        <w:tblW w:w="9715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8"/>
        <w:gridCol w:w="1683"/>
        <w:gridCol w:w="5414"/>
      </w:tblGrid>
      <w:tr w:rsidR="00A4347D" w:rsidRPr="00A3745E" w:rsidTr="00D46D4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b/>
                <w:bCs/>
                <w:color w:val="FFFFFF"/>
                <w:sz w:val="24"/>
                <w:szCs w:val="20"/>
              </w:rPr>
              <w:t>Item</w:t>
            </w:r>
          </w:p>
        </w:tc>
        <w:tc>
          <w:tcPr>
            <w:tcW w:w="168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b/>
                <w:bCs/>
                <w:color w:val="FFFFFF"/>
                <w:sz w:val="24"/>
                <w:szCs w:val="20"/>
              </w:rPr>
              <w:t>Estim</w:t>
            </w:r>
            <w:r w:rsidRPr="00A3745E">
              <w:rPr>
                <w:b/>
                <w:bCs/>
                <w:color w:val="FFFFFF"/>
                <w:sz w:val="24"/>
                <w:szCs w:val="20"/>
              </w:rPr>
              <w:t>ated Cost</w:t>
            </w:r>
          </w:p>
        </w:tc>
        <w:tc>
          <w:tcPr>
            <w:tcW w:w="54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b/>
                <w:bCs/>
                <w:color w:val="FFFFFF"/>
                <w:sz w:val="24"/>
                <w:szCs w:val="20"/>
              </w:rPr>
              <w:t>Notes</w:t>
            </w:r>
          </w:p>
        </w:tc>
      </w:tr>
      <w:tr w:rsidR="00A4347D" w:rsidRPr="00A3745E" w:rsidTr="00D46D44">
        <w:tblPrEx>
          <w:tblCellMar>
            <w:top w:w="0" w:type="dxa"/>
            <w:bottom w:w="0" w:type="dxa"/>
          </w:tblCellMar>
        </w:tblPrEx>
        <w:tc>
          <w:tcPr>
            <w:tcW w:w="26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Domain registration (if new)</w:t>
            </w:r>
          </w:p>
        </w:tc>
        <w:tc>
          <w:tcPr>
            <w:tcW w:w="16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$12–$20/year</w:t>
            </w:r>
          </w:p>
        </w:tc>
        <w:tc>
          <w:tcPr>
            <w:tcW w:w="54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Skip if Granite already owns a working domain; use a subdomain of it (e.g., app.granitesignalsystems.com)</w:t>
            </w:r>
          </w:p>
        </w:tc>
      </w:tr>
      <w:tr w:rsidR="00A4347D" w:rsidRPr="00A3745E" w:rsidTr="00D46D44">
        <w:tblPrEx>
          <w:tblCellMar>
            <w:top w:w="0" w:type="dxa"/>
            <w:bottom w:w="0" w:type="dxa"/>
          </w:tblCellMar>
        </w:tblPrEx>
        <w:tc>
          <w:tcPr>
            <w:tcW w:w="261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Logo &amp; brand identity</w:t>
            </w:r>
          </w:p>
        </w:tc>
        <w:tc>
          <w:tcPr>
            <w:tcW w:w="168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$0–$800</w:t>
            </w:r>
          </w:p>
        </w:tc>
        <w:tc>
          <w:tcPr>
            <w:tcW w:w="541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DIY (Canva/Figma) at low end; freelance designer for a logo + basic style guide at the higher end. Full brand agency ($1,500+) is not warranted at this stage</w:t>
            </w:r>
          </w:p>
        </w:tc>
      </w:tr>
      <w:tr w:rsidR="00A4347D" w:rsidRPr="00A3745E" w:rsidTr="00D46D44">
        <w:tblPrEx>
          <w:tblCellMar>
            <w:top w:w="0" w:type="dxa"/>
            <w:bottom w:w="0" w:type="dxa"/>
          </w:tblCellMar>
        </w:tblPrEx>
        <w:tc>
          <w:tcPr>
            <w:tcW w:w="26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Public marketing website build</w:t>
            </w:r>
          </w:p>
        </w:tc>
        <w:tc>
          <w:tcPr>
            <w:tcW w:w="16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$0–$500</w:t>
            </w:r>
          </w:p>
        </w:tc>
        <w:tc>
          <w:tcPr>
            <w:tcW w:w="54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Can be built inside HighLevel's own included website/funnel builder at effectively $0 marginal cost; budget applies only if building externally (e.g., WordPress) or hiring a designer</w:t>
            </w:r>
          </w:p>
        </w:tc>
      </w:tr>
      <w:tr w:rsidR="00A4347D" w:rsidRPr="00A3745E" w:rsidTr="00D46D44">
        <w:tblPrEx>
          <w:tblCellMar>
            <w:top w:w="0" w:type="dxa"/>
            <w:bottom w:w="0" w:type="dxa"/>
          </w:tblCellMar>
        </w:tblPrEx>
        <w:tc>
          <w:tcPr>
            <w:tcW w:w="261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Terms &amp; Conditions / Privacy Policy drafting</w:t>
            </w:r>
          </w:p>
        </w:tc>
        <w:tc>
          <w:tcPr>
            <w:tcW w:w="168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$50–$800</w:t>
            </w:r>
          </w:p>
        </w:tc>
        <w:tc>
          <w:tcPr>
            <w:tcW w:w="541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Template-based service (e.g., Termly) at the low end; attorney-reviewed at the high end. Bundle with the counsel review already required under Section 3 of the Master Plan rather than engaging separately</w:t>
            </w:r>
          </w:p>
        </w:tc>
      </w:tr>
      <w:tr w:rsidR="00A4347D" w:rsidRPr="00A3745E" w:rsidTr="00D46D44">
        <w:tblPrEx>
          <w:tblCellMar>
            <w:top w:w="0" w:type="dxa"/>
            <w:bottom w:w="0" w:type="dxa"/>
          </w:tblCellMar>
        </w:tblPrEx>
        <w:tc>
          <w:tcPr>
            <w:tcW w:w="26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Trademark clearance search</w:t>
            </w:r>
          </w:p>
        </w:tc>
        <w:tc>
          <w:tcPr>
            <w:tcW w:w="16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$0–$600</w:t>
            </w:r>
          </w:p>
        </w:tc>
        <w:tc>
          <w:tcPr>
            <w:tcW w:w="54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A DIY USPTO/NH search costs nothing but time; a professional clearance search reduces the risk of investing in a brand identity tied to a name that isn't actually clear</w:t>
            </w:r>
          </w:p>
        </w:tc>
      </w:tr>
      <w:tr w:rsidR="00A4347D" w:rsidRPr="00A3745E" w:rsidTr="00D46D44">
        <w:tblPrEx>
          <w:tblCellMar>
            <w:top w:w="0" w:type="dxa"/>
            <w:bottom w:w="0" w:type="dxa"/>
          </w:tblCellMar>
        </w:tblPrEx>
        <w:tc>
          <w:tcPr>
            <w:tcW w:w="2618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Founder/staff setup time</w:t>
            </w:r>
          </w:p>
        </w:tc>
        <w:tc>
          <w:tcPr>
            <w:tcW w:w="168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15–25 hours</w:t>
            </w:r>
          </w:p>
        </w:tc>
        <w:tc>
          <w:tcPr>
            <w:tcW w:w="541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DNS configuration, platform branding, testing, and QA — the dominant real cost at this stage is time, not cash</w:t>
            </w:r>
          </w:p>
        </w:tc>
      </w:tr>
      <w:tr w:rsidR="00A4347D" w:rsidRPr="00A3745E" w:rsidTr="00D46D44">
        <w:tblPrEx>
          <w:tblCellMar>
            <w:top w:w="0" w:type="dxa"/>
            <w:bottom w:w="0" w:type="dxa"/>
          </w:tblCellMar>
        </w:tblPrEx>
        <w:tc>
          <w:tcPr>
            <w:tcW w:w="261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TOTAL ESTIMATED ONE-TIME COST</w:t>
            </w:r>
          </w:p>
        </w:tc>
        <w:tc>
          <w:tcPr>
            <w:tcW w:w="16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$65–$1,900</w:t>
            </w:r>
          </w:p>
        </w:tc>
        <w:tc>
          <w:tcPr>
            <w:tcW w:w="54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Wide range reflects DIY vs. outsourced branding choices; the platform mechanics themselves (DNS, SSL, login branding) carry no direct fee beyond the plan upgrade below</w:t>
            </w:r>
          </w:p>
        </w:tc>
      </w:tr>
    </w:tbl>
    <w:p w:rsidR="00A4347D" w:rsidRPr="00A3745E" w:rsidRDefault="00A4347D">
      <w:pPr>
        <w:spacing w:after="160"/>
        <w:rPr>
          <w:sz w:val="24"/>
        </w:rPr>
      </w:pP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>Recurring Monthly Costs</w:t>
      </w:r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1669"/>
        <w:gridCol w:w="1219"/>
        <w:gridCol w:w="3691"/>
      </w:tblGrid>
      <w:tr w:rsidR="00A4347D" w:rsidRPr="00A374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b/>
                <w:bCs/>
                <w:color w:val="FFFFFF"/>
                <w:sz w:val="24"/>
                <w:szCs w:val="20"/>
              </w:rPr>
              <w:t>Item</w:t>
            </w:r>
          </w:p>
        </w:tc>
        <w:tc>
          <w:tcPr>
            <w:tcW w:w="1683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b/>
                <w:bCs/>
                <w:color w:val="FFFFFF"/>
                <w:sz w:val="24"/>
                <w:szCs w:val="20"/>
              </w:rPr>
              <w:t>Monthly Cost</w:t>
            </w:r>
          </w:p>
        </w:tc>
        <w:tc>
          <w:tcPr>
            <w:tcW w:w="112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b/>
                <w:bCs/>
                <w:color w:val="FFFFFF"/>
                <w:sz w:val="24"/>
                <w:szCs w:val="20"/>
              </w:rPr>
              <w:t>Required?</w:t>
            </w:r>
          </w:p>
        </w:tc>
        <w:tc>
          <w:tcPr>
            <w:tcW w:w="37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b/>
                <w:bCs/>
                <w:color w:val="FFFFFF"/>
                <w:sz w:val="24"/>
                <w:szCs w:val="20"/>
              </w:rPr>
              <w:t>Notes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HighLevel Unlimited plan</w:t>
            </w:r>
          </w:p>
        </w:tc>
        <w:tc>
          <w:tcPr>
            <w:tcW w:w="16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$297</w:t>
            </w:r>
          </w:p>
        </w:tc>
        <w:tc>
          <w:tcPr>
            <w:tcW w:w="11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Required</w:t>
            </w:r>
          </w:p>
        </w:tc>
        <w:tc>
          <w:tcPr>
            <w:tcW w:w="3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Replaces the $97 Starter plan — the net incremental cost of white-labeling is $200/month over the current baseline. Also removes the 3-sub-account ceiling as a side benefit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Domain renewal (amortized)</w:t>
            </w:r>
          </w:p>
        </w:tc>
        <w:tc>
          <w:tcPr>
            <w:tcW w:w="168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~$1–$2</w:t>
            </w:r>
          </w:p>
        </w:tc>
        <w:tc>
          <w:tcPr>
            <w:tcW w:w="112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Required</w:t>
            </w:r>
          </w:p>
        </w:tc>
        <w:tc>
          <w:tcPr>
            <w:tcW w:w="37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Annual renewal spread monthly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White label mobile app</w:t>
            </w:r>
          </w:p>
        </w:tc>
        <w:tc>
          <w:tcPr>
            <w:tcW w:w="16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$497</w:t>
            </w:r>
          </w:p>
        </w:tc>
        <w:tc>
          <w:tcPr>
            <w:tcW w:w="11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Optional — defer</w:t>
            </w:r>
          </w:p>
        </w:tc>
        <w:tc>
          <w:tcPr>
            <w:tcW w:w="3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A separate add-on; without it, HighLevel's mobile app still shows HighLevel branding. Not recommended for this initial phase — revisit once mobile presence is a proven client need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Branded Client Portal App</w:t>
            </w:r>
          </w:p>
        </w:tc>
        <w:tc>
          <w:tcPr>
            <w:tcW w:w="168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$49/sub-account</w:t>
            </w:r>
          </w:p>
        </w:tc>
        <w:tc>
          <w:tcPr>
            <w:tcW w:w="112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Optional — defer</w:t>
            </w:r>
          </w:p>
        </w:tc>
        <w:tc>
          <w:tcPr>
            <w:tcW w:w="37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Gives individual clients their own branded portal; a later-phase upsell, not a launch requirement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Dedicated email IPs</w:t>
            </w:r>
          </w:p>
        </w:tc>
        <w:tc>
          <w:tcPr>
            <w:tcW w:w="16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$59/IP</w:t>
            </w:r>
          </w:p>
        </w:tc>
        <w:tc>
          <w:tcPr>
            <w:tcW w:w="11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Optional — defer</w:t>
            </w:r>
          </w:p>
        </w:tc>
        <w:tc>
          <w:tcPr>
            <w:tcW w:w="3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Improves email deliverability at higher volume; unnecessary at current client counts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WordPress hosting (if used)</w:t>
            </w:r>
          </w:p>
        </w:tc>
        <w:tc>
          <w:tcPr>
            <w:tcW w:w="168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from $10/site</w:t>
            </w:r>
          </w:p>
        </w:tc>
        <w:tc>
          <w:tcPr>
            <w:tcW w:w="112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Optional</w:t>
            </w:r>
          </w:p>
        </w:tc>
        <w:tc>
          <w:tcPr>
            <w:tcW w:w="374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Only if the public marketing site is built outside HighLevel's own builder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ESTIMATED REQUIRED RECURRING COST</w:t>
            </w:r>
          </w:p>
        </w:tc>
        <w:tc>
          <w:tcPr>
            <w:tcW w:w="168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~$298–$300/mo</w:t>
            </w:r>
          </w:p>
        </w:tc>
        <w:tc>
          <w:tcPr>
            <w:tcW w:w="11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A4347D">
            <w:pPr>
              <w:rPr>
                <w:sz w:val="24"/>
              </w:rPr>
            </w:pPr>
          </w:p>
        </w:tc>
        <w:tc>
          <w:tcPr>
            <w:tcW w:w="37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Reflects only the required items; optional add-ons are deferred by design</w:t>
            </w:r>
          </w:p>
        </w:tc>
      </w:tr>
    </w:tbl>
    <w:p w:rsidR="00A4347D" w:rsidRPr="00A3745E" w:rsidRDefault="00D5419E">
      <w:pPr>
        <w:spacing w:before="100" w:after="200"/>
        <w:rPr>
          <w:sz w:val="24"/>
        </w:rPr>
      </w:pPr>
      <w:r w:rsidRPr="00A3745E">
        <w:rPr>
          <w:i/>
          <w:iCs/>
          <w:color w:val="595959"/>
          <w:sz w:val="24"/>
          <w:szCs w:val="20"/>
        </w:rPr>
        <w:t>SSL certificates and DNS-level branding carry no additional fee — HighLevel auto-provisions SSL on the white-label domain at no extra cost once the CNAME record is verified.</w:t>
      </w:r>
    </w:p>
    <w:p w:rsidR="00A4347D" w:rsidRPr="00A3745E" w:rsidRDefault="00D5419E">
      <w:pPr>
        <w:pStyle w:val="Heading1"/>
        <w:spacing w:before="400"/>
        <w:rPr>
          <w:sz w:val="36"/>
        </w:rPr>
      </w:pPr>
      <w:r w:rsidRPr="00A3745E">
        <w:rPr>
          <w:sz w:val="36"/>
        </w:rPr>
        <w:t>B. Steps and Process Flow — From Branding the Website Onward</w:t>
      </w:r>
    </w:p>
    <w:p w:rsidR="00A4347D" w:rsidRPr="00A3745E" w:rsidRDefault="00D5419E">
      <w:pPr>
        <w:spacing w:after="160"/>
        <w:rPr>
          <w:sz w:val="24"/>
        </w:rPr>
      </w:pPr>
      <w:r w:rsidRPr="00A3745E">
        <w:rPr>
          <w:sz w:val="24"/>
        </w:rPr>
        <w:t>This is a sequentia</w:t>
      </w:r>
      <w:r w:rsidRPr="00A3745E">
        <w:rPr>
          <w:sz w:val="24"/>
        </w:rPr>
        <w:t>l, roughly 5-week process. Each step depends on the one before it — do not skip ahead to DNS configuration before the brand identity and name clearance are settled.</w:t>
      </w: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>Step 1 — Confirm Brand Foundation (Week 1–2)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Confirm the Granite Signal Systems name is act</w:t>
      </w:r>
      <w:r w:rsidRPr="00A3745E">
        <w:rPr>
          <w:sz w:val="24"/>
        </w:rPr>
        <w:t>ually clear — complete the NH QuickStart search and trademark search flagged in the Master Plan's opening checklist, before investing further in branded assets.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Finalize the logo, color palette, typography, and a short tagline.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Write a one-page internal br</w:t>
      </w:r>
      <w:r w:rsidRPr="00A3745E">
        <w:rPr>
          <w:sz w:val="24"/>
        </w:rPr>
        <w:t>and style guide so every touchpoint — website, login screen, email signatures — stays visually consistent.</w:t>
      </w:r>
    </w:p>
    <w:p w:rsidR="00A4347D" w:rsidRPr="00A3745E" w:rsidRDefault="00D5419E">
      <w:pPr>
        <w:shd w:val="clear" w:color="auto" w:fill="FFF3CD"/>
        <w:spacing w:before="120" w:after="200"/>
        <w:ind w:left="100" w:right="100"/>
        <w:rPr>
          <w:sz w:val="24"/>
        </w:rPr>
      </w:pPr>
      <w:r w:rsidRPr="00A3745E">
        <w:rPr>
          <w:b/>
          <w:bCs/>
          <w:color w:val="9C6500"/>
          <w:sz w:val="24"/>
        </w:rPr>
        <w:t>⚠</w:t>
      </w:r>
      <w:r w:rsidRPr="00A3745E">
        <w:rPr>
          <w:b/>
          <w:bCs/>
          <w:color w:val="9C6500"/>
          <w:sz w:val="24"/>
        </w:rPr>
        <w:t xml:space="preserve"> </w:t>
      </w:r>
      <w:r w:rsidR="00C00DDE">
        <w:rPr>
          <w:b/>
          <w:bCs/>
          <w:color w:val="9C6500"/>
          <w:sz w:val="24"/>
        </w:rPr>
        <w:t xml:space="preserve"> </w:t>
      </w:r>
      <w:r w:rsidRPr="00A3745E">
        <w:rPr>
          <w:b/>
          <w:bCs/>
          <w:color w:val="9C6500"/>
          <w:sz w:val="24"/>
          <w:szCs w:val="20"/>
        </w:rPr>
        <w:t>Do not proceed to paid branding investment (designer, website build) until the name is confirmed clear. Rebranding after a rejected trademark or a name conflict wastes this entire budget.</w:t>
      </w: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>Step 2 — Domain &amp; DNS Setup (Week 2)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Secure the primary marketing do</w:t>
      </w:r>
      <w:r w:rsidRPr="00A3745E">
        <w:rPr>
          <w:sz w:val="24"/>
        </w:rPr>
        <w:t>main if not already owned (e.g., granitesignalsystems.com).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Decide the branded login subdomain — recommended: app.granitesignalsystems.com (a subdomain, not the root domain, so any HighLevel-side issue never takes down the main marketing site).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 xml:space="preserve">Set up DNS </w:t>
      </w:r>
      <w:r w:rsidRPr="00A3745E">
        <w:rPr>
          <w:sz w:val="24"/>
        </w:rPr>
        <w:t>management through a reliable provider (Cloudflare is commonly recommended for fast propagation and control — note the specific configuration caveat in Step 5).</w:t>
      </w: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>Step 3 — Build the Public Marketing Website (Week 2–3)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Build the outward-facing site explaining</w:t>
      </w:r>
      <w:r w:rsidRPr="00A3745E">
        <w:rPr>
          <w:sz w:val="24"/>
        </w:rPr>
        <w:t xml:space="preserve"> Granite's services — this can be done inside HighLevel's own included website/funnel builder at no additional platform cost.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Publish Terms &amp; Conditions and Privacy Policy pages — required later for the white-label login configuration.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Include a contact/de</w:t>
      </w:r>
      <w:r w:rsidRPr="00A3745E">
        <w:rPr>
          <w:sz w:val="24"/>
        </w:rPr>
        <w:t>mo-request form — this becomes the first live proof point of Granite's own lead-response system in action.</w:t>
      </w: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>Step 4 — Upgrade the HighLevel Plan (Week 3)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Upgrade from Starter to the Unlimited plan ($297/month) — this is the plan tier that unlocks white-label</w:t>
      </w:r>
      <w:r w:rsidRPr="00A3745E">
        <w:rPr>
          <w:sz w:val="24"/>
        </w:rPr>
        <w:t xml:space="preserve"> branding.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Confirm unlimited sub-accounts are now available.</w:t>
      </w: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>Step 5 — Configure the White-Label Domain (Week 3–4)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In HighLevel: Agency Settings → Company → Whitelabel Domain.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Enter the chosen subdomain (app.granitesignalsystems.com).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Add the CNAME record H</w:t>
      </w:r>
      <w:r w:rsidRPr="00A3745E">
        <w:rPr>
          <w:sz w:val="24"/>
        </w:rPr>
        <w:t>ighLevel provides to the domain's DNS settings at the registrar/DNS provider.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Wait for DNS propagation (typically 15–60 minutes; budget up to 24–48 hours in worst-case scenarios) and automatic SSL issuance.</w:t>
      </w:r>
    </w:p>
    <w:p w:rsidR="00A4347D" w:rsidRPr="00A3745E" w:rsidRDefault="00D5419E">
      <w:pPr>
        <w:shd w:val="clear" w:color="auto" w:fill="FFF3CD"/>
        <w:spacing w:before="120" w:after="200"/>
        <w:ind w:left="100" w:right="100"/>
        <w:rPr>
          <w:sz w:val="24"/>
        </w:rPr>
      </w:pPr>
      <w:r w:rsidRPr="00A3745E">
        <w:rPr>
          <w:b/>
          <w:bCs/>
          <w:color w:val="9C6500"/>
          <w:sz w:val="24"/>
        </w:rPr>
        <w:t>⚠</w:t>
      </w:r>
      <w:r w:rsidR="000824BE">
        <w:rPr>
          <w:b/>
          <w:bCs/>
          <w:color w:val="9C6500"/>
          <w:sz w:val="24"/>
        </w:rPr>
        <w:t xml:space="preserve"> </w:t>
      </w:r>
      <w:r w:rsidRPr="00A3745E">
        <w:rPr>
          <w:b/>
          <w:bCs/>
          <w:color w:val="9C6500"/>
          <w:sz w:val="24"/>
        </w:rPr>
        <w:t xml:space="preserve"> </w:t>
      </w:r>
      <w:r w:rsidRPr="00A3745E">
        <w:rPr>
          <w:b/>
          <w:bCs/>
          <w:color w:val="9C6500"/>
          <w:sz w:val="24"/>
          <w:szCs w:val="20"/>
        </w:rPr>
        <w:t>If using Cloudflare: set the CNAME record to “D</w:t>
      </w:r>
      <w:r w:rsidRPr="00A3745E">
        <w:rPr>
          <w:b/>
          <w:bCs/>
          <w:color w:val="9C6500"/>
          <w:sz w:val="24"/>
          <w:szCs w:val="20"/>
        </w:rPr>
        <w:t>NS only” (grey cloud, not the orange proxy). Leaving Cloudflare's proxy active is the most common cause of SSL provisioning failure on HighLevel white-label domains.</w:t>
      </w: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>Step 6 — Platform Branding (Week 4)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Upload the Granite Signal Systems logo in Agency/Compa</w:t>
      </w:r>
      <w:r w:rsidRPr="00A3745E">
        <w:rPr>
          <w:sz w:val="24"/>
        </w:rPr>
        <w:t>ny Settings.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Apply brand colors throughout the interface.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Add the Terms &amp; Conditions and Privacy Policy URLs published in Step 3.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Verify no visible HighLevel name/branding remains anywhere in the client-facing experience.</w:t>
      </w: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>Step 7 — Branded Email Sending Dom</w:t>
      </w:r>
      <w:r w:rsidRPr="00A3745E">
        <w:rPr>
          <w:sz w:val="32"/>
        </w:rPr>
        <w:t>ain (Week 4)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Configure SPF, DKIM, and DMARC records so automated client-facing emails send from a Granite-branded address, not a generic or HighLevel-default one.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Send test emails and confirm they land in the inbox (not spam) with correct sender branding.</w:t>
      </w: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>Step 8 — Internal QA (Week 4–5)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Create a test sub-account and walk through the entire experience as a client would — login screen, logo, dashboard, no visible HighLevel references.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Check for the common failure points documented by HighLevel support: duplic</w:t>
      </w:r>
      <w:r w:rsidRPr="00A3745E">
        <w:rPr>
          <w:sz w:val="24"/>
        </w:rPr>
        <w:t>ate DNS A-records on the root domain, SSL protocol errors, and stale propagation.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Fix any issues found before touching a real client account.</w:t>
      </w: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>Step 9 — Client Rollout (Week 5+)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Onboard new clients through the branded experience going forward as standard pra</w:t>
      </w:r>
      <w:r w:rsidRPr="00A3745E">
        <w:rPr>
          <w:sz w:val="24"/>
        </w:rPr>
        <w:t>ctice.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If any clients are already live on the unbranded setup, plan their migration deliberately — exporting and manually recreating automations can be required, since field mappings do not always carry over cleanly.</w:t>
      </w: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>Step 10 — Marketing Activation (Week 5+</w:t>
      </w:r>
      <w:r w:rsidRPr="00A3745E">
        <w:rPr>
          <w:sz w:val="32"/>
        </w:rPr>
        <w:t>, overlapping)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Roll the new brand identity across every outward-facing touchpoint — website, email signatures, sales collateral, social profiles.</w:t>
      </w:r>
    </w:p>
    <w:p w:rsidR="00A4347D" w:rsidRPr="00A3745E" w:rsidRDefault="00D5419E">
      <w:pPr>
        <w:pStyle w:val="ListParagraph"/>
        <w:numPr>
          <w:ilvl w:val="0"/>
          <w:numId w:val="2"/>
        </w:numPr>
        <w:spacing w:after="90"/>
        <w:rPr>
          <w:sz w:val="24"/>
        </w:rPr>
      </w:pPr>
      <w:r w:rsidRPr="00A3745E">
        <w:rPr>
          <w:sz w:val="24"/>
        </w:rPr>
        <w:t>Update the demo script and screen-recording (Section 15G/15I of the Master Plan) to show the newly branded int</w:t>
      </w:r>
      <w:r w:rsidRPr="00A3745E">
        <w:rPr>
          <w:sz w:val="24"/>
        </w:rPr>
        <w:t>erface.</w:t>
      </w:r>
    </w:p>
    <w:p w:rsidR="00A4347D" w:rsidRPr="00A3745E" w:rsidRDefault="00D5419E">
      <w:pPr>
        <w:rPr>
          <w:sz w:val="24"/>
        </w:rPr>
      </w:pPr>
      <w:r w:rsidRPr="00A3745E">
        <w:rPr>
          <w:sz w:val="24"/>
        </w:rPr>
        <w:br w:type="page"/>
      </w:r>
    </w:p>
    <w:p w:rsidR="00A4347D" w:rsidRPr="00A3745E" w:rsidRDefault="00D5419E">
      <w:pPr>
        <w:pStyle w:val="Heading1"/>
        <w:spacing w:before="400"/>
        <w:rPr>
          <w:sz w:val="36"/>
        </w:rPr>
      </w:pPr>
      <w:r w:rsidRPr="00A3745E">
        <w:rPr>
          <w:sz w:val="36"/>
        </w:rPr>
        <w:t>C. How Granite Will Market the Brand</w:t>
      </w:r>
    </w:p>
    <w:p w:rsidR="00A4347D" w:rsidRPr="00A3745E" w:rsidRDefault="00D5419E">
      <w:pPr>
        <w:spacing w:after="160"/>
        <w:rPr>
          <w:sz w:val="24"/>
        </w:rPr>
      </w:pPr>
      <w:r w:rsidRPr="00A3745E">
        <w:rPr>
          <w:sz w:val="24"/>
        </w:rPr>
        <w:t>White labeling is fundamentally a trust and professionalism signal — it does not replace the existing local B2B sales machine already defined in Section 15 of the Master Plan, and it should not be treated as a</w:t>
      </w:r>
      <w:r w:rsidRPr="00A3745E">
        <w:rPr>
          <w:sz w:val="24"/>
        </w:rPr>
        <w:t xml:space="preserve"> new marketing channel in its own right. What it does is strengthen the credibility of the sales motion already underway.</w:t>
      </w: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>How the Brand Investment Gets Used</w:t>
      </w:r>
    </w:p>
    <w:p w:rsidR="00A4347D" w:rsidRPr="00A3745E" w:rsidRDefault="00D5419E">
      <w:pPr>
        <w:pStyle w:val="ListParagraph"/>
        <w:numPr>
          <w:ilvl w:val="0"/>
          <w:numId w:val="3"/>
        </w:numPr>
        <w:spacing w:after="80"/>
        <w:rPr>
          <w:sz w:val="24"/>
        </w:rPr>
      </w:pPr>
      <w:r w:rsidRPr="00A3745E">
        <w:rPr>
          <w:sz w:val="24"/>
        </w:rPr>
        <w:t>Every client-facing touchpoint — login screens, automated emails, booking pages — now carries Grani</w:t>
      </w:r>
      <w:r w:rsidRPr="00A3745E">
        <w:rPr>
          <w:sz w:val="24"/>
        </w:rPr>
        <w:t>te's own branding, functioning as a distributed brand impression across every homeowner interaction on every client's account.</w:t>
      </w:r>
    </w:p>
    <w:p w:rsidR="00A4347D" w:rsidRPr="00A3745E" w:rsidRDefault="00D5419E">
      <w:pPr>
        <w:pStyle w:val="ListParagraph"/>
        <w:numPr>
          <w:ilvl w:val="0"/>
          <w:numId w:val="3"/>
        </w:numPr>
        <w:spacing w:after="80"/>
        <w:rPr>
          <w:sz w:val="24"/>
        </w:rPr>
      </w:pPr>
      <w:r w:rsidRPr="00A3745E">
        <w:rPr>
          <w:sz w:val="24"/>
        </w:rPr>
        <w:t>The 12-minute demo (Section 15G) and the 2-minute screen-recording tactic (Section 15I) should be re-recorded on the newly brande</w:t>
      </w:r>
      <w:r w:rsidRPr="00A3745E">
        <w:rPr>
          <w:sz w:val="24"/>
        </w:rPr>
        <w:t>d interface, reinforcing the positioning line from Section 2: “you are paying for a managed system, not access to AI.”</w:t>
      </w:r>
    </w:p>
    <w:p w:rsidR="00A4347D" w:rsidRPr="00A3745E" w:rsidRDefault="00D5419E">
      <w:pPr>
        <w:pStyle w:val="ListParagraph"/>
        <w:numPr>
          <w:ilvl w:val="0"/>
          <w:numId w:val="3"/>
        </w:numPr>
        <w:spacing w:after="80"/>
        <w:rPr>
          <w:sz w:val="24"/>
        </w:rPr>
      </w:pPr>
      <w:r w:rsidRPr="00A3745E">
        <w:rPr>
          <w:sz w:val="24"/>
        </w:rPr>
        <w:t>The public marketing website becomes a credible, professional front door for prospects doing their own research after an initial email or</w:t>
      </w:r>
      <w:r w:rsidRPr="00A3745E">
        <w:rPr>
          <w:sz w:val="24"/>
        </w:rPr>
        <w:t xml:space="preserve"> call — particularly relevant for the more skeptical Tier 2/3 prospect.</w:t>
      </w:r>
    </w:p>
    <w:p w:rsidR="00A4347D" w:rsidRPr="00A3745E" w:rsidRDefault="00D5419E">
      <w:pPr>
        <w:pStyle w:val="ListParagraph"/>
        <w:numPr>
          <w:ilvl w:val="0"/>
          <w:numId w:val="3"/>
        </w:numPr>
        <w:spacing w:after="80"/>
        <w:rPr>
          <w:sz w:val="24"/>
        </w:rPr>
      </w:pPr>
      <w:r w:rsidRPr="00A3745E">
        <w:rPr>
          <w:sz w:val="24"/>
        </w:rPr>
        <w:t>Local SEO on the new marketing domain, targeted at NH-specific contractor search terms, is a low-cost complement once the site exists — not a launch requirement.</w:t>
      </w:r>
    </w:p>
    <w:p w:rsidR="00A4347D" w:rsidRPr="00A3745E" w:rsidRDefault="00D5419E">
      <w:pPr>
        <w:pStyle w:val="ListParagraph"/>
        <w:numPr>
          <w:ilvl w:val="0"/>
          <w:numId w:val="3"/>
        </w:numPr>
        <w:spacing w:after="80"/>
        <w:rPr>
          <w:sz w:val="24"/>
        </w:rPr>
      </w:pPr>
      <w:r w:rsidRPr="00A3745E">
        <w:rPr>
          <w:sz w:val="24"/>
        </w:rPr>
        <w:t>Once the first branded</w:t>
      </w:r>
      <w:r w:rsidRPr="00A3745E">
        <w:rPr>
          <w:sz w:val="24"/>
        </w:rPr>
        <w:t xml:space="preserve"> client is live, their case study/testimonial can be captured using the branded interface, reinforcing brand consistency in future sales materials.</w:t>
      </w: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>What This Plan Deliberately Avoids</w:t>
      </w:r>
    </w:p>
    <w:p w:rsidR="00A4347D" w:rsidRPr="00A3745E" w:rsidRDefault="00D5419E">
      <w:pPr>
        <w:pStyle w:val="ListParagraph"/>
        <w:numPr>
          <w:ilvl w:val="0"/>
          <w:numId w:val="3"/>
        </w:numPr>
        <w:spacing w:after="80"/>
        <w:rPr>
          <w:sz w:val="24"/>
        </w:rPr>
      </w:pPr>
      <w:r w:rsidRPr="00A3745E">
        <w:rPr>
          <w:sz w:val="24"/>
        </w:rPr>
        <w:t>No mass-market paid brand advertising. Section 15 of the Master Plan is explicit that early sales stay manual, local, and precise — white labeling supports that motion, it doesn't replace it.</w:t>
      </w:r>
    </w:p>
    <w:p w:rsidR="00A4347D" w:rsidRPr="00A3745E" w:rsidRDefault="00D5419E">
      <w:pPr>
        <w:pStyle w:val="ListParagraph"/>
        <w:numPr>
          <w:ilvl w:val="0"/>
          <w:numId w:val="3"/>
        </w:numPr>
        <w:spacing w:after="80"/>
        <w:rPr>
          <w:sz w:val="24"/>
        </w:rPr>
      </w:pPr>
      <w:r w:rsidRPr="00A3745E">
        <w:rPr>
          <w:sz w:val="24"/>
        </w:rPr>
        <w:t>No overstated “we built this software” claims. Market Granite as</w:t>
      </w:r>
      <w:r w:rsidRPr="00A3745E">
        <w:rPr>
          <w:sz w:val="24"/>
        </w:rPr>
        <w:t xml:space="preserve"> “our own managed platform” or “the system we built and manage for you” — both true and defensible — rather than implying proprietary software engineering that didn't happen. A sophisticated Tier 3 prospect's IT staff can and sometimes will investigate the</w:t>
      </w:r>
      <w:r w:rsidRPr="00A3745E">
        <w:rPr>
          <w:sz w:val="24"/>
        </w:rPr>
        <w:t xml:space="preserve"> underlying infrastructure.</w:t>
      </w:r>
    </w:p>
    <w:p w:rsidR="00A4347D" w:rsidRPr="00A3745E" w:rsidRDefault="00D5419E">
      <w:pPr>
        <w:pStyle w:val="Heading1"/>
        <w:spacing w:before="400"/>
        <w:rPr>
          <w:sz w:val="36"/>
        </w:rPr>
      </w:pPr>
      <w:r w:rsidRPr="00A3745E">
        <w:rPr>
          <w:sz w:val="36"/>
        </w:rPr>
        <w:t>D. Initial Resource Requirements</w:t>
      </w:r>
    </w:p>
    <w:p w:rsidR="00A4347D" w:rsidRPr="00A3745E" w:rsidRDefault="00D5419E">
      <w:pPr>
        <w:spacing w:after="160"/>
        <w:rPr>
          <w:sz w:val="24"/>
        </w:rPr>
      </w:pPr>
      <w:r w:rsidRPr="00A3745E">
        <w:rPr>
          <w:sz w:val="24"/>
        </w:rPr>
        <w:t>This initiative does not require new hires beyond what the existing staffing roadmap already anticipates. It is scoped as founder-led work, optionally supplemented by one freelance contractor fo</w:t>
      </w:r>
      <w:r w:rsidRPr="00A3745E">
        <w:rPr>
          <w:sz w:val="24"/>
        </w:rPr>
        <w:t>r design.</w:t>
      </w:r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1"/>
        <w:gridCol w:w="4675"/>
        <w:gridCol w:w="2244"/>
      </w:tblGrid>
      <w:tr w:rsidR="00A4347D" w:rsidRPr="00A374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b/>
                <w:bCs/>
                <w:color w:val="FFFFFF"/>
                <w:sz w:val="24"/>
                <w:szCs w:val="20"/>
              </w:rPr>
              <w:t>Resource</w:t>
            </w:r>
          </w:p>
        </w:tc>
        <w:tc>
          <w:tcPr>
            <w:tcW w:w="46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b/>
                <w:bCs/>
                <w:color w:val="FFFFFF"/>
                <w:sz w:val="24"/>
                <w:szCs w:val="20"/>
              </w:rPr>
              <w:t>Role in This Plan</w:t>
            </w:r>
          </w:p>
        </w:tc>
        <w:tc>
          <w:tcPr>
            <w:tcW w:w="224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b/>
                <w:bCs/>
                <w:color w:val="FFFFFF"/>
                <w:sz w:val="24"/>
                <w:szCs w:val="20"/>
              </w:rPr>
              <w:t>Est. Time / Cost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4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Founder</w:t>
            </w:r>
          </w:p>
        </w:tc>
        <w:tc>
          <w:tcPr>
            <w:tcW w:w="46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Owns DNS configuration, platform branding, QA testing, and final sign-off. This is not delegated to offshore staff at this stage — it touches core account security and brand identity decisions.</w:t>
            </w:r>
          </w:p>
        </w:tc>
        <w:tc>
          <w:tcPr>
            <w:tcW w:w="22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15–25 hours over ~5 weeks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43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Freelance logo/brand designer (optional)</w:t>
            </w:r>
          </w:p>
        </w:tc>
        <w:tc>
          <w:tcPr>
            <w:tcW w:w="467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One-time logo and basic style guide, if not handled in-house via Canva/Figma.</w:t>
            </w:r>
          </w:p>
        </w:tc>
        <w:tc>
          <w:tcPr>
            <w:tcW w:w="224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$150–$800, one-time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43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Attorney (existing relationship)</w:t>
            </w:r>
          </w:p>
        </w:tc>
        <w:tc>
          <w:tcPr>
            <w:tcW w:w="467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Reviews Terms &amp; Conditions/Privacy Policy language and confirms name-clearance status — bundle into the counsel review already required under Section 3 rather than a separate engagement.</w:t>
            </w:r>
          </w:p>
        </w:tc>
        <w:tc>
          <w:tcPr>
            <w:tcW w:w="224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Marginal — bundled review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43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Generalist VA (if already hired per the staffing roadmap)</w:t>
            </w:r>
          </w:p>
        </w:tc>
        <w:tc>
          <w:tcPr>
            <w:tcW w:w="467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Can assist with content population on the marketing website and basic QA checklist execution, but should not be given DNS or agency-settings access.</w:t>
            </w:r>
          </w:p>
        </w:tc>
        <w:tc>
          <w:tcPr>
            <w:tcW w:w="224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A few hours, if available</w:t>
            </w:r>
          </w:p>
        </w:tc>
      </w:tr>
    </w:tbl>
    <w:p w:rsidR="00A4347D" w:rsidRPr="00A3745E" w:rsidRDefault="00D5419E">
      <w:pPr>
        <w:spacing w:before="100" w:after="200"/>
        <w:rPr>
          <w:sz w:val="24"/>
        </w:rPr>
      </w:pPr>
      <w:r w:rsidRPr="00A3745E">
        <w:rPr>
          <w:i/>
          <w:iCs/>
          <w:color w:val="595959"/>
          <w:sz w:val="24"/>
          <w:szCs w:val="20"/>
        </w:rPr>
        <w:t>The HighLevel-trained offshore technician role defined in the broader staffing roadmap is not needed for this initiative. White labeling is a one-time foundational setup, not an ongoing per-client build task — it fits naturally into the founder's own Phase</w:t>
      </w:r>
      <w:r w:rsidRPr="00A3745E">
        <w:rPr>
          <w:i/>
          <w:iCs/>
          <w:color w:val="595959"/>
          <w:sz w:val="24"/>
          <w:szCs w:val="20"/>
        </w:rPr>
        <w:t xml:space="preserve"> 0–Phase 1 workload.</w:t>
      </w:r>
    </w:p>
    <w:p w:rsidR="00A4347D" w:rsidRPr="00A3745E" w:rsidRDefault="00D5419E">
      <w:pPr>
        <w:pStyle w:val="Heading1"/>
        <w:spacing w:before="400"/>
        <w:rPr>
          <w:sz w:val="36"/>
        </w:rPr>
      </w:pPr>
      <w:r w:rsidRPr="00A3745E">
        <w:rPr>
          <w:sz w:val="36"/>
        </w:rPr>
        <w:t>E. Risk Matrix — White Label Initiative</w:t>
      </w:r>
    </w:p>
    <w:p w:rsidR="00A4347D" w:rsidRPr="00A3745E" w:rsidRDefault="00D5419E">
      <w:pPr>
        <w:spacing w:after="160"/>
        <w:rPr>
          <w:sz w:val="24"/>
        </w:rPr>
      </w:pPr>
      <w:r w:rsidRPr="00A3745E">
        <w:rPr>
          <w:sz w:val="24"/>
        </w:rPr>
        <w:t>Likelihood and impact are relative to Granite's current stage — a planning tool, not a formal actuarial assessment.</w:t>
      </w:r>
    </w:p>
    <w:tbl>
      <w:tblPr>
        <w:tblW w:w="935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333"/>
        <w:gridCol w:w="2082"/>
        <w:gridCol w:w="3415"/>
      </w:tblGrid>
      <w:tr w:rsidR="00A4347D" w:rsidRPr="00A374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b/>
                <w:bCs/>
                <w:color w:val="FFFFFF"/>
                <w:sz w:val="24"/>
                <w:szCs w:val="20"/>
              </w:rPr>
              <w:t>Risk</w:t>
            </w:r>
          </w:p>
        </w:tc>
        <w:tc>
          <w:tcPr>
            <w:tcW w:w="112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b/>
                <w:bCs/>
                <w:color w:val="FFFFFF"/>
                <w:sz w:val="24"/>
                <w:szCs w:val="20"/>
              </w:rPr>
              <w:t>Likelihood</w:t>
            </w:r>
          </w:p>
        </w:tc>
        <w:tc>
          <w:tcPr>
            <w:tcW w:w="130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b/>
                <w:bCs/>
                <w:color w:val="FFFFFF"/>
                <w:sz w:val="24"/>
                <w:szCs w:val="20"/>
              </w:rPr>
              <w:t>Impact</w:t>
            </w:r>
          </w:p>
        </w:tc>
        <w:tc>
          <w:tcPr>
            <w:tcW w:w="4114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b/>
                <w:bCs/>
                <w:color w:val="FFFFFF"/>
                <w:sz w:val="24"/>
                <w:szCs w:val="20"/>
              </w:rPr>
              <w:t>Mitigation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Business name not yet legally clear when branding investment begins</w:t>
            </w:r>
          </w:p>
        </w:tc>
        <w:tc>
          <w:tcPr>
            <w:tcW w:w="11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Medium</w:t>
            </w:r>
          </w:p>
        </w:tc>
        <w:tc>
          <w:tcPr>
            <w:tcW w:w="1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Severe (wasted brand spend, forced rebrand)</w:t>
            </w:r>
          </w:p>
        </w:tc>
        <w:tc>
          <w:tcPr>
            <w:tcW w:w="41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 xml:space="preserve">Complete the NH QuickStart and trademark search before committing to a logo, domain, or paid design work — sequencing already built into </w:t>
            </w:r>
            <w:r w:rsidRPr="00A3745E">
              <w:rPr>
                <w:sz w:val="24"/>
                <w:szCs w:val="20"/>
              </w:rPr>
              <w:t>Step 1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DNS misconfiguration causes login downtime or SSL errors across ALL clients simultaneously</w:t>
            </w:r>
          </w:p>
        </w:tc>
        <w:tc>
          <w:tcPr>
            <w:tcW w:w="112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Medium</w:t>
            </w:r>
          </w:p>
        </w:tc>
        <w:tc>
          <w:tcPr>
            <w:tcW w:w="13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High (single point of failure spans every client, not just one)</w:t>
            </w:r>
          </w:p>
        </w:tc>
        <w:tc>
          <w:tcPr>
            <w:tcW w:w="411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Test thoroughly in Step 8 before rollout; use a subdomain (not root domain) to isolate marketing site DNS from the app login domain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Cloudflare proxy or duplicate DNS A-records block SSL provisioning</w:t>
            </w:r>
          </w:p>
        </w:tc>
        <w:tc>
          <w:tcPr>
            <w:tcW w:w="11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Medium–High</w:t>
            </w:r>
          </w:p>
        </w:tc>
        <w:tc>
          <w:tcPr>
            <w:tcW w:w="1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Medium (delays launch, temporary access issues)</w:t>
            </w:r>
          </w:p>
        </w:tc>
        <w:tc>
          <w:tcPr>
            <w:tcW w:w="41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Follow the documented “DNS only” Cloudflare setting; check for duplicate root A-records as the first troubleshooting step, per HighLevel's own support guidance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Increased fixed monthly cost ($200/mo delta for Unlimited) taken on before client volume justifies it</w:t>
            </w:r>
          </w:p>
        </w:tc>
        <w:tc>
          <w:tcPr>
            <w:tcW w:w="112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Medium</w:t>
            </w:r>
          </w:p>
        </w:tc>
        <w:tc>
          <w:tcPr>
            <w:tcW w:w="13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Medium (cash flow pressure pre-revenue or early-stage)</w:t>
            </w:r>
          </w:p>
        </w:tc>
        <w:tc>
          <w:tcPr>
            <w:tcW w:w="411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Consider timing the upgrade to coincide with approaching the 3-client Starter ceiling, rathe</w:t>
            </w:r>
            <w:r w:rsidRPr="00A3745E">
              <w:rPr>
                <w:sz w:val="24"/>
                <w:szCs w:val="20"/>
              </w:rPr>
              <w:t>r than defaulting to it immediately, per Section 7's general “don't buy at launch” discipline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Existing/legacy clients require migration; automations don't carry over cleanly</w:t>
            </w:r>
          </w:p>
        </w:tc>
        <w:tc>
          <w:tcPr>
            <w:tcW w:w="11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Low–Medium (depends on current client count)</w:t>
            </w:r>
          </w:p>
        </w:tc>
        <w:tc>
          <w:tcPr>
            <w:tcW w:w="1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Medium–High (support burden, possible configuration errors)</w:t>
            </w:r>
          </w:p>
        </w:tc>
        <w:tc>
          <w:tcPr>
            <w:tcW w:w="41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Plan migrations deliberately per client rather than in bulk; verify each automation manually post-migration rather than assuming a clean transfer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Mobile app still shows HighLevel branding (separate $497/mo add-on required for full mobile white-label)</w:t>
            </w:r>
          </w:p>
        </w:tc>
        <w:tc>
          <w:tcPr>
            <w:tcW w:w="112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High (by default, if not purchased)</w:t>
            </w:r>
          </w:p>
        </w:tc>
        <w:tc>
          <w:tcPr>
            <w:tcW w:w="13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Low–Medium (inconsistent brand experience if clients expect full mobile branding)</w:t>
            </w:r>
          </w:p>
        </w:tc>
        <w:tc>
          <w:tcPr>
            <w:tcW w:w="411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Don't market a “fully white-label</w:t>
            </w:r>
            <w:r w:rsidRPr="00A3745E">
              <w:rPr>
                <w:sz w:val="24"/>
                <w:szCs w:val="20"/>
              </w:rPr>
              <w:t>ed mobile experience” unless the add-on is purchased; set expectations accurately in the meantime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Reputational risk if “Granite's own platform” positioning is perceived as misleading once a sophisticated client's IT staff investigates the underlying infrastructure</w:t>
            </w:r>
          </w:p>
        </w:tc>
        <w:tc>
          <w:tcPr>
            <w:tcW w:w="11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Medium (Tier 3 specifically)</w:t>
            </w:r>
          </w:p>
        </w:tc>
        <w:tc>
          <w:tcPr>
            <w:tcW w:w="1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Medium (trust/credibility)</w:t>
            </w:r>
          </w:p>
        </w:tc>
        <w:tc>
          <w:tcPr>
            <w:tcW w:w="41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Market as “our own managed platfo</w:t>
            </w:r>
            <w:r w:rsidRPr="00A3745E">
              <w:rPr>
                <w:sz w:val="24"/>
                <w:szCs w:val="20"/>
              </w:rPr>
              <w:t>rm,” never as proprietary software Granite engineered from scratch — an honest framing that's still commercially strong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Add-on cost creep (branded mobile app, dedicated email IPs, premium support) purchased prematurely</w:t>
            </w:r>
          </w:p>
        </w:tc>
        <w:tc>
          <w:tcPr>
            <w:tcW w:w="112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Medium</w:t>
            </w:r>
          </w:p>
        </w:tc>
        <w:tc>
          <w:tcPr>
            <w:tcW w:w="13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Medium (margin erosion)</w:t>
            </w:r>
          </w:p>
        </w:tc>
        <w:tc>
          <w:tcPr>
            <w:tcW w:w="411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Treat every optional add-on in Section A as deferred by default; revisit only when a specific, proven need arises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Domain/brand spoofing or phishing targeting the new branded domain as it gains recognition</w:t>
            </w:r>
          </w:p>
        </w:tc>
        <w:tc>
          <w:tcPr>
            <w:tcW w:w="112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Low initially, rising over time</w:t>
            </w:r>
          </w:p>
        </w:tc>
        <w:tc>
          <w:tcPr>
            <w:tcW w:w="130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Medium–High (client trust, compliance exposure)</w:t>
            </w:r>
          </w:p>
        </w:tc>
        <w:tc>
          <w:tcPr>
            <w:tcW w:w="411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Enforce DMARC properly (Step 7), monitor for look-alike domain registrations as the brand grows</w:t>
            </w:r>
          </w:p>
        </w:tc>
      </w:tr>
      <w:tr w:rsidR="00A4347D" w:rsidRPr="00A3745E">
        <w:tblPrEx>
          <w:tblCellMar>
            <w:top w:w="0" w:type="dxa"/>
            <w:bottom w:w="0" w:type="dxa"/>
          </w:tblCellMar>
        </w:tblPrEx>
        <w:tc>
          <w:tcPr>
            <w:tcW w:w="28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Marketing materials update inconsistently with the actual platform branding (old logo/colors lingering in some materials)</w:t>
            </w:r>
          </w:p>
        </w:tc>
        <w:tc>
          <w:tcPr>
            <w:tcW w:w="112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Low–Medium</w:t>
            </w:r>
          </w:p>
        </w:tc>
        <w:tc>
          <w:tcPr>
            <w:tcW w:w="13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Low (polish/consistency issue)</w:t>
            </w:r>
          </w:p>
        </w:tc>
        <w:tc>
          <w:tcPr>
            <w:tcW w:w="411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4347D" w:rsidRPr="00A3745E" w:rsidRDefault="00D5419E">
            <w:pPr>
              <w:rPr>
                <w:sz w:val="24"/>
              </w:rPr>
            </w:pPr>
            <w:r w:rsidRPr="00A3745E">
              <w:rPr>
                <w:sz w:val="24"/>
                <w:szCs w:val="20"/>
              </w:rPr>
              <w:t>Use the one-page brand style guide from Step 1 as the single source of truth when updating a</w:t>
            </w:r>
            <w:r w:rsidRPr="00A3745E">
              <w:rPr>
                <w:sz w:val="24"/>
                <w:szCs w:val="20"/>
              </w:rPr>
              <w:t>ny client-facing material</w:t>
            </w:r>
          </w:p>
        </w:tc>
      </w:tr>
    </w:tbl>
    <w:p w:rsidR="00A4347D" w:rsidRPr="00A3745E" w:rsidRDefault="00A4347D">
      <w:pPr>
        <w:spacing w:after="160"/>
        <w:rPr>
          <w:sz w:val="24"/>
        </w:rPr>
      </w:pPr>
      <w:bookmarkStart w:id="0" w:name="_GoBack"/>
      <w:bookmarkEnd w:id="0"/>
    </w:p>
    <w:p w:rsidR="00A4347D" w:rsidRPr="00A3745E" w:rsidRDefault="00D5419E">
      <w:pPr>
        <w:pStyle w:val="Heading1"/>
        <w:spacing w:before="400"/>
        <w:rPr>
          <w:sz w:val="36"/>
        </w:rPr>
      </w:pPr>
      <w:r w:rsidRPr="00A3745E">
        <w:rPr>
          <w:sz w:val="36"/>
        </w:rPr>
        <w:t>F. Additional Considerations</w:t>
      </w: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>Sequencing Relative to Overall Growth</w:t>
      </w:r>
    </w:p>
    <w:p w:rsidR="00A4347D" w:rsidRPr="00A3745E" w:rsidRDefault="00D5419E">
      <w:pPr>
        <w:spacing w:after="160"/>
        <w:rPr>
          <w:sz w:val="24"/>
        </w:rPr>
      </w:pPr>
      <w:r w:rsidRPr="00A3745E">
        <w:rPr>
          <w:sz w:val="24"/>
        </w:rPr>
        <w:t>The Master Execution Plan's Section 7 discipline — don't buy the Unlimited plan until the 3-sub-account Starter ceiling is actually hit — is a reasonable default. White labeling should be triggered by one of two deliberate paths: (1) the natural point wher</w:t>
      </w:r>
      <w:r w:rsidRPr="00A3745E">
        <w:rPr>
          <w:sz w:val="24"/>
        </w:rPr>
        <w:t>e client count forces the Unlimited upgrade anyway, at which point white-labeling is essentially free to add on top, or (2) an earlier, conscious decision to prioritize brand credibility — for example, ahead of pursuing a Tier 2/3 prospect where a polished</w:t>
      </w:r>
      <w:r w:rsidRPr="00A3745E">
        <w:rPr>
          <w:sz w:val="24"/>
        </w:rPr>
        <w:t>, branded platform materially strengthens the pitch. Path 2 is a legitimate choice but should be made deliberately, not by default, since it accelerates a $200/month fixed cost ahead of the client volume that would otherwise justify it.</w:t>
      </w: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 xml:space="preserve">Boundary With SaaS </w:t>
      </w:r>
      <w:r w:rsidRPr="00A3745E">
        <w:rPr>
          <w:sz w:val="32"/>
        </w:rPr>
        <w:t>Mode</w:t>
      </w:r>
    </w:p>
    <w:p w:rsidR="00A4347D" w:rsidRPr="00A3745E" w:rsidRDefault="00D5419E">
      <w:pPr>
        <w:spacing w:after="160"/>
        <w:rPr>
          <w:sz w:val="24"/>
        </w:rPr>
      </w:pPr>
      <w:r w:rsidRPr="00A3745E">
        <w:rPr>
          <w:sz w:val="24"/>
        </w:rPr>
        <w:t xml:space="preserve">This plan stops at branding. It does not include SaaS Mode's self-serve client billing, automated sub-account creation on signup, or rebilling with markup — all Agency Pro ($497/month) features. Those solve a different problem (turning Granite into a </w:t>
      </w:r>
      <w:r w:rsidRPr="00A3745E">
        <w:rPr>
          <w:sz w:val="24"/>
        </w:rPr>
        <w:t>self-service software resale business) than what was asked for here (clients simply seeing Granite's brand instead of HighLevel's). If self-serve billing becomes a priority later, it should be evaluated as its own separate decision, not bundled into this b</w:t>
      </w:r>
      <w:r w:rsidRPr="00A3745E">
        <w:rPr>
          <w:sz w:val="24"/>
        </w:rPr>
        <w:t>randing initiative by default.</w:t>
      </w:r>
    </w:p>
    <w:p w:rsidR="00A4347D" w:rsidRPr="00A3745E" w:rsidRDefault="00D5419E">
      <w:pPr>
        <w:pStyle w:val="Heading2"/>
        <w:spacing w:before="300" w:after="150"/>
        <w:rPr>
          <w:sz w:val="32"/>
        </w:rPr>
      </w:pPr>
      <w:r w:rsidRPr="00A3745E">
        <w:rPr>
          <w:sz w:val="32"/>
        </w:rPr>
        <w:t>Recommended Domain Structure</w:t>
      </w:r>
    </w:p>
    <w:p w:rsidR="00A4347D" w:rsidRPr="00A3745E" w:rsidRDefault="00D5419E">
      <w:pPr>
        <w:spacing w:after="160"/>
        <w:rPr>
          <w:sz w:val="24"/>
        </w:rPr>
      </w:pPr>
      <w:r w:rsidRPr="00A3745E">
        <w:rPr>
          <w:sz w:val="24"/>
        </w:rPr>
        <w:t xml:space="preserve">Keep the white-label login domain as a subdomain </w:t>
      </w:r>
      <w:r w:rsidRPr="00762903">
        <w:rPr>
          <w:b/>
          <w:sz w:val="24"/>
        </w:rPr>
        <w:t>(app.granitesignalsystems.com</w:t>
      </w:r>
      <w:r w:rsidRPr="00A3745E">
        <w:rPr>
          <w:sz w:val="24"/>
        </w:rPr>
        <w:t xml:space="preserve">) of the primary marketing domain, rather than the root domain itself. This isolates any HighLevel-side incident from </w:t>
      </w:r>
      <w:r w:rsidRPr="00A3745E">
        <w:rPr>
          <w:sz w:val="24"/>
        </w:rPr>
        <w:t>taking down the public marketing website's DNS, and is the structure HighLevel's own documentation and most implementation guides recommend.</w:t>
      </w:r>
    </w:p>
    <w:p w:rsidR="00A4347D" w:rsidRPr="00A3745E" w:rsidRDefault="00A4347D">
      <w:pPr>
        <w:spacing w:after="160"/>
        <w:rPr>
          <w:sz w:val="24"/>
        </w:rPr>
      </w:pPr>
    </w:p>
    <w:p w:rsidR="00A4347D" w:rsidRPr="00A3745E" w:rsidRDefault="00D5419E">
      <w:pPr>
        <w:spacing w:before="100" w:after="200"/>
        <w:rPr>
          <w:sz w:val="24"/>
        </w:rPr>
      </w:pPr>
      <w:r w:rsidRPr="00A3745E">
        <w:rPr>
          <w:i/>
          <w:iCs/>
          <w:color w:val="595959"/>
          <w:sz w:val="24"/>
          <w:szCs w:val="20"/>
        </w:rPr>
        <w:t>This plan is a companion to, not a replacement for, the Master Execution Plan V2.0 and the Tiered Service Framewor</w:t>
      </w:r>
      <w:r w:rsidRPr="00A3745E">
        <w:rPr>
          <w:i/>
          <w:iCs/>
          <w:color w:val="595959"/>
          <w:sz w:val="24"/>
          <w:szCs w:val="20"/>
        </w:rPr>
        <w:t>k. Costs and setup times should be reconfirmed against HighLevel's current pricing page and support documentation immediately before execution, as both can change.</w:t>
      </w:r>
    </w:p>
    <w:sectPr w:rsidR="00A4347D" w:rsidRPr="00A3745E" w:rsidSect="00FF1592">
      <w:footerReference w:type="default" r:id="rId7"/>
      <w:pgSz w:w="12240" w:h="15840"/>
      <w:pgMar w:top="1080" w:right="1080" w:bottom="1080" w:left="1584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419E" w:rsidRDefault="00D5419E" w:rsidP="00FF1592">
      <w:r>
        <w:separator/>
      </w:r>
    </w:p>
  </w:endnote>
  <w:endnote w:type="continuationSeparator" w:id="0">
    <w:p w:rsidR="00D5419E" w:rsidRDefault="00D5419E" w:rsidP="00FF1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043065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F1592" w:rsidRDefault="00FF15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5419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F1592" w:rsidRDefault="00FF15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419E" w:rsidRDefault="00D5419E" w:rsidP="00FF1592">
      <w:r>
        <w:separator/>
      </w:r>
    </w:p>
  </w:footnote>
  <w:footnote w:type="continuationSeparator" w:id="0">
    <w:p w:rsidR="00D5419E" w:rsidRDefault="00D5419E" w:rsidP="00FF1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155D0E"/>
    <w:multiLevelType w:val="hybridMultilevel"/>
    <w:tmpl w:val="36E2F7B4"/>
    <w:lvl w:ilvl="0" w:tplc="3956E246">
      <w:start w:val="1"/>
      <w:numFmt w:val="bullet"/>
      <w:lvlText w:val="●"/>
      <w:lvlJc w:val="left"/>
      <w:pPr>
        <w:ind w:left="720" w:hanging="360"/>
      </w:pPr>
    </w:lvl>
    <w:lvl w:ilvl="1" w:tplc="3A78756A">
      <w:start w:val="1"/>
      <w:numFmt w:val="bullet"/>
      <w:lvlText w:val="○"/>
      <w:lvlJc w:val="left"/>
      <w:pPr>
        <w:ind w:left="1440" w:hanging="360"/>
      </w:pPr>
    </w:lvl>
    <w:lvl w:ilvl="2" w:tplc="0082B63A">
      <w:start w:val="1"/>
      <w:numFmt w:val="bullet"/>
      <w:lvlText w:val="■"/>
      <w:lvlJc w:val="left"/>
      <w:pPr>
        <w:ind w:left="2160" w:hanging="360"/>
      </w:pPr>
    </w:lvl>
    <w:lvl w:ilvl="3" w:tplc="55364A96">
      <w:start w:val="1"/>
      <w:numFmt w:val="bullet"/>
      <w:lvlText w:val="●"/>
      <w:lvlJc w:val="left"/>
      <w:pPr>
        <w:ind w:left="2880" w:hanging="360"/>
      </w:pPr>
    </w:lvl>
    <w:lvl w:ilvl="4" w:tplc="C03EB0AC">
      <w:start w:val="1"/>
      <w:numFmt w:val="bullet"/>
      <w:lvlText w:val="○"/>
      <w:lvlJc w:val="left"/>
      <w:pPr>
        <w:ind w:left="3600" w:hanging="360"/>
      </w:pPr>
    </w:lvl>
    <w:lvl w:ilvl="5" w:tplc="4AB0A004">
      <w:start w:val="1"/>
      <w:numFmt w:val="bullet"/>
      <w:lvlText w:val="■"/>
      <w:lvlJc w:val="left"/>
      <w:pPr>
        <w:ind w:left="4320" w:hanging="360"/>
      </w:pPr>
    </w:lvl>
    <w:lvl w:ilvl="6" w:tplc="3A58C5BA">
      <w:start w:val="1"/>
      <w:numFmt w:val="bullet"/>
      <w:lvlText w:val="●"/>
      <w:lvlJc w:val="left"/>
      <w:pPr>
        <w:ind w:left="5040" w:hanging="360"/>
      </w:pPr>
    </w:lvl>
    <w:lvl w:ilvl="7" w:tplc="1CA40DE4">
      <w:start w:val="1"/>
      <w:numFmt w:val="bullet"/>
      <w:lvlText w:val="●"/>
      <w:lvlJc w:val="left"/>
      <w:pPr>
        <w:ind w:left="5760" w:hanging="360"/>
      </w:pPr>
    </w:lvl>
    <w:lvl w:ilvl="8" w:tplc="600AC9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A31E5D"/>
    <w:multiLevelType w:val="hybridMultilevel"/>
    <w:tmpl w:val="F6DE64E6"/>
    <w:lvl w:ilvl="0" w:tplc="24EE3CA6">
      <w:start w:val="1"/>
      <w:numFmt w:val="bullet"/>
      <w:lvlText w:val="•"/>
      <w:lvlJc w:val="left"/>
      <w:pPr>
        <w:ind w:left="450" w:hanging="260"/>
      </w:pPr>
    </w:lvl>
    <w:lvl w:ilvl="1" w:tplc="FEF8F98A">
      <w:numFmt w:val="decimal"/>
      <w:lvlText w:val=""/>
      <w:lvlJc w:val="left"/>
    </w:lvl>
    <w:lvl w:ilvl="2" w:tplc="CC3A8828">
      <w:numFmt w:val="decimal"/>
      <w:lvlText w:val=""/>
      <w:lvlJc w:val="left"/>
    </w:lvl>
    <w:lvl w:ilvl="3" w:tplc="F86AAFA2">
      <w:numFmt w:val="decimal"/>
      <w:lvlText w:val=""/>
      <w:lvlJc w:val="left"/>
    </w:lvl>
    <w:lvl w:ilvl="4" w:tplc="7A628544">
      <w:numFmt w:val="decimal"/>
      <w:lvlText w:val=""/>
      <w:lvlJc w:val="left"/>
    </w:lvl>
    <w:lvl w:ilvl="5" w:tplc="FB9ADB54">
      <w:numFmt w:val="decimal"/>
      <w:lvlText w:val=""/>
      <w:lvlJc w:val="left"/>
    </w:lvl>
    <w:lvl w:ilvl="6" w:tplc="B8CAA982">
      <w:numFmt w:val="decimal"/>
      <w:lvlText w:val=""/>
      <w:lvlJc w:val="left"/>
    </w:lvl>
    <w:lvl w:ilvl="7" w:tplc="5FCEE69A">
      <w:numFmt w:val="decimal"/>
      <w:lvlText w:val=""/>
      <w:lvlJc w:val="left"/>
    </w:lvl>
    <w:lvl w:ilvl="8" w:tplc="49C207BA">
      <w:numFmt w:val="decimal"/>
      <w:lvlText w:val=""/>
      <w:lvlJc w:val="left"/>
    </w:lvl>
  </w:abstractNum>
  <w:abstractNum w:abstractNumId="2" w15:restartNumberingAfterBreak="0">
    <w:nsid w:val="6FB538B2"/>
    <w:multiLevelType w:val="hybridMultilevel"/>
    <w:tmpl w:val="A634A51C"/>
    <w:lvl w:ilvl="0" w:tplc="A2B43E66">
      <w:start w:val="1"/>
      <w:numFmt w:val="decimal"/>
      <w:lvlText w:val="%1."/>
      <w:lvlJc w:val="left"/>
      <w:pPr>
        <w:ind w:left="450" w:hanging="320"/>
      </w:pPr>
    </w:lvl>
    <w:lvl w:ilvl="1" w:tplc="1B9CA290">
      <w:numFmt w:val="decimal"/>
      <w:lvlText w:val=""/>
      <w:lvlJc w:val="left"/>
    </w:lvl>
    <w:lvl w:ilvl="2" w:tplc="EFF42548">
      <w:numFmt w:val="decimal"/>
      <w:lvlText w:val=""/>
      <w:lvlJc w:val="left"/>
    </w:lvl>
    <w:lvl w:ilvl="3" w:tplc="B08EABFE">
      <w:numFmt w:val="decimal"/>
      <w:lvlText w:val=""/>
      <w:lvlJc w:val="left"/>
    </w:lvl>
    <w:lvl w:ilvl="4" w:tplc="9ADC576A">
      <w:numFmt w:val="decimal"/>
      <w:lvlText w:val=""/>
      <w:lvlJc w:val="left"/>
    </w:lvl>
    <w:lvl w:ilvl="5" w:tplc="D6588F70">
      <w:numFmt w:val="decimal"/>
      <w:lvlText w:val=""/>
      <w:lvlJc w:val="left"/>
    </w:lvl>
    <w:lvl w:ilvl="6" w:tplc="5EE84162">
      <w:numFmt w:val="decimal"/>
      <w:lvlText w:val=""/>
      <w:lvlJc w:val="left"/>
    </w:lvl>
    <w:lvl w:ilvl="7" w:tplc="A0EAD6A6">
      <w:numFmt w:val="decimal"/>
      <w:lvlText w:val=""/>
      <w:lvlJc w:val="left"/>
    </w:lvl>
    <w:lvl w:ilvl="8" w:tplc="1BBC727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47D"/>
    <w:rsid w:val="000824BE"/>
    <w:rsid w:val="00241CBC"/>
    <w:rsid w:val="002D029B"/>
    <w:rsid w:val="00484C9E"/>
    <w:rsid w:val="00546BD1"/>
    <w:rsid w:val="00615D0D"/>
    <w:rsid w:val="00762903"/>
    <w:rsid w:val="008F4F5D"/>
    <w:rsid w:val="00A3745E"/>
    <w:rsid w:val="00A4347D"/>
    <w:rsid w:val="00A62C0A"/>
    <w:rsid w:val="00A63916"/>
    <w:rsid w:val="00C00DDE"/>
    <w:rsid w:val="00D2744C"/>
    <w:rsid w:val="00D46D44"/>
    <w:rsid w:val="00D5419E"/>
    <w:rsid w:val="00ED7538"/>
    <w:rsid w:val="00FF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52B4"/>
  <w15:docId w15:val="{D0CB7B8F-8CC2-4DE4-8391-254F49582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1F3864"/>
      </w:pBd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i/>
      <w:iCs/>
      <w:color w:val="595959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F15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1592"/>
  </w:style>
  <w:style w:type="paragraph" w:styleId="Footer">
    <w:name w:val="footer"/>
    <w:basedOn w:val="Normal"/>
    <w:link w:val="FooterChar"/>
    <w:uiPriority w:val="99"/>
    <w:unhideWhenUsed/>
    <w:rsid w:val="00FF1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1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2523</Words>
  <Characters>14386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2026-08-22T03:06:00Z</dcterms:created>
  <dcterms:modified xsi:type="dcterms:W3CDTF">2026-08-22T03:06:00Z</dcterms:modified>
</cp:coreProperties>
</file>