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Title"/>
        <w:spacing w:after="120"/>
        <w:jc w:val="center"/>
      </w:pPr>
      <w:r>
        <w:t xml:space="preserve">PIMS Rules Book</w:t>
      </w:r>
    </w:p>
    <w:p>
      <w:pPr>
        <w:spacing w:after="80"/>
        <w:jc w:val="center"/>
      </w:pPr>
      <w:r>
        <w:rPr>
          <w:i/>
          <w:iCs/>
          <w:color w:val="595959"/>
          <w:sz w:val="26"/>
          <w:szCs w:val="26"/>
        </w:rPr>
        <w:t xml:space="preserve">Personal Information Management System — Data &amp; Operations Conventions</w:t>
      </w:r>
    </w:p>
    <w:p>
      <w:pPr>
        <w:spacing w:after="60" w:before="300"/>
        <w:jc w:val="center"/>
      </w:pPr>
      <w:r>
        <w:rPr>
          <w:color w:val="595959"/>
          <w:sz w:val="22"/>
          <w:szCs w:val="22"/>
        </w:rPr>
        <w:t xml:space="preserve">Reference document for how data is formatted, stored, linked, maintained, and protected across the PIMS application.</w:t>
      </w:r>
    </w:p>
    <w:p>
      <w:pPr>
        <w:spacing w:before="400"/>
        <w:jc w:val="center"/>
      </w:pPr>
      <w:r>
        <w:rPr>
          <w:i/>
          <w:iCs/>
          <w:color w:val="595959"/>
          <w:sz w:val="20"/>
          <w:szCs w:val="20"/>
        </w:rPr>
        <w:t xml:space="preserve">Prepared August 25, 2026</w:t>
      </w:r>
    </w:p>
    <w:p>
      <w:r>
        <w:br w:type="page"/>
      </w:r>
    </w:p>
    <w:p>
      <w:pPr>
        <w:pStyle w:val="Heading1"/>
        <w:pBdr>
          <w:bottom w:val="single" w:color="1F3864" w:sz="6" w:space="4"/>
        </w:pBdr>
        <w:spacing w:after="160" w:before="360"/>
      </w:pPr>
      <w:r>
        <w:t xml:space="preserve">Purpose &amp; How to Use This Document</w:t>
      </w:r>
    </w:p>
    <w:p>
      <w:pPr>
        <w:spacing w:after="140" w:line="276"/>
      </w:pPr>
      <w:r>
        <w:t xml:space="preserve">This is the standing reference for how PIMS is built to behave: how dates and phone numbers are formatted, how lookup tables are governed, how Contacts, Organizations, Addresses, and Content relate to one another, and how the system protects and maintains itself (encryption, history tracking, archiving, backup, and audit). It is written from the current, deployed state of the application — every rule below reflects code that exists today, not a future plan — and it should be updated whenever a rule changes.</w:t>
      </w:r>
    </w:p>
    <w:p>
      <w:pPr>
        <w:spacing w:after="140" w:line="276"/>
      </w:pPr>
      <w:r>
        <w:t xml:space="preserve">Two call-out styles are used throughout:</w:t>
      </w:r>
    </w:p>
    <w:p>
      <w:pPr>
        <w:pStyle w:val="ListParagraph"/>
        <w:numPr>
          <w:ilvl w:val="0"/>
          <w:numId w:val="2"/>
        </w:numPr>
        <w:spacing w:after="90" w:line="276"/>
      </w:pPr>
      <w:r>
        <w:t xml:space="preserve">A </w:t>
      </w:r>
      <w:r>
        <w:rPr>
          <w:b/>
          <w:bCs/>
          <w:color w:val="2E6E62"/>
        </w:rPr>
        <w:t xml:space="preserve">Note</w:t>
      </w:r>
      <w:r>
        <w:t xml:space="preserve"> box adds useful context or a related tip.</w:t>
      </w:r>
    </w:p>
    <w:p>
      <w:pPr>
        <w:pStyle w:val="ListParagraph"/>
        <w:numPr>
          <w:ilvl w:val="0"/>
          <w:numId w:val="2"/>
        </w:numPr>
        <w:spacing w:after="90" w:line="276"/>
      </w:pPr>
      <w:r>
        <w:t xml:space="preserve">A </w:t>
      </w:r>
      <w:r>
        <w:rPr>
          <w:b/>
          <w:bCs/>
          <w:color w:val="B7472A"/>
        </w:rPr>
        <w:t xml:space="preserve">Current limitation</w:t>
      </w:r>
      <w:r>
        <w:t xml:space="preserve"> box flags something that is deliberately not yet automated or enforced, so it isn't mistaken for a guarantee.</w:t>
      </w:r>
    </w:p>
    <w:p>
      <w:r>
        <w:br w:type="page"/>
      </w:r>
    </w:p>
    <w:p>
      <w:pPr>
        <w:pStyle w:val="Heading1"/>
        <w:pBdr>
          <w:bottom w:val="single" w:color="1F3864" w:sz="6" w:space="4"/>
        </w:pBdr>
        <w:spacing w:after="160" w:before="360"/>
      </w:pPr>
      <w:r>
        <w:t xml:space="preserve">1. Dates — Storage &amp; Display Rules</w:t>
      </w:r>
    </w:p>
    <w:p>
      <w:pPr>
        <w:spacing w:after="140" w:line="276"/>
      </w:pPr>
      <w:r>
        <w:rPr>
          <w:b/>
          <w:bCs/>
          <w:color w:val="1F3864"/>
        </w:rPr>
        <w:t xml:space="preserve">Storage format:  </w:t>
      </w:r>
      <w:r>
        <w:t xml:space="preserve">Every date column in the database (date_of_birth, date_of_death, created_at, updated_at, start_date, end_date, purchase_date, and so on) is stored as plain ISO-8601 text, YYYY-MM-DD (or YYYY-MM-DD HH:MM:SS for timestamps). This never changes — it is what SQLite sorts correctly, what an HTML date-picker input requires, and what CSV import/export uses.</w:t>
      </w:r>
    </w:p>
    <w:p>
      <w:pPr>
        <w:spacing w:after="140" w:line="276"/>
      </w:pPr>
      <w:r>
        <w:rPr>
          <w:b/>
          <w:bCs/>
          <w:color w:val="1F3864"/>
        </w:rPr>
        <w:t xml:space="preserve">Display format:  </w:t>
      </w:r>
      <w:r>
        <w:t xml:space="preserve">When a date is meant for a person to read, it is rendered as “Month DD, YYYY” — for example 1955-05-05 becomes May 05, 1955 — through the format_date Jinja filter defined in utils.py. The filter is safe by design: a blank or missing value renders as nothing, and any value that isn’t a clean ISO date falls back to showing the raw stored text rather than erroring.</w:t>
      </w:r>
    </w:p>
    <w:p>
      <w:pPr>
        <w:spacing w:after="140" w:line="276"/>
      </w:pPr>
      <w:r>
        <w:rPr>
          <w:b/>
          <w:bCs/>
          <w:color w:val="1F3864"/>
        </w:rPr>
        <w:t xml:space="preserve">Where it's applied today:  </w:t>
      </w:r>
      <w:r>
        <w:t xml:space="preserve">The Contact view page's Date of Birth and Date of Death fields. Every date-entry field in every form (Date of Birth, Date of Death, subscription Start/End Date, license Purchase Date, and so on) intentionally continues to show the raw ISO value in its input box, because that is the format the HTML5 date picker requires — reformatting an input field would break the picker.</w:t>
      </w:r>
    </w:p>
    <w:p>
      <w:pPr>
        <w:pBdr>
          <w:left w:val="single" w:color="B7472A" w:sz="12" w:space="8"/>
        </w:pBdr>
        <w:spacing w:after="200" w:before="60" w:line="276"/>
        <w:ind w:left="260"/>
      </w:pPr>
      <w:r>
        <w:rPr>
          <w:b/>
          <w:bCs/>
          <w:i/>
          <w:iCs/>
          <w:color w:val="B7472A"/>
        </w:rPr>
        <w:t xml:space="preserve">Current limitation: </w:t>
      </w:r>
      <w:r>
        <w:rPr>
          <w:i/>
          <w:iCs/>
          <w:color w:val="595959"/>
        </w:rPr>
        <w:t xml:space="preserve">format_date is not yet wired into every other screen that displays a stored date (for example the audit log's timestamp column, or created_at/updated_at shown elsewhere). The filter exists and is registered application-wide, so extending “Month DD, YYYY” display to another screen is a small, low-risk change — it has simply only been requested and applied for Contacts so far.</w:t>
      </w:r>
    </w:p>
    <w:p>
      <w:pPr>
        <w:pBdr>
          <w:left w:val="single" w:color="2E6E62" w:sz="12" w:space="8"/>
        </w:pBdr>
        <w:spacing w:after="200" w:before="60" w:line="276"/>
        <w:ind w:left="260"/>
      </w:pPr>
      <w:r>
        <w:rPr>
          <w:b/>
          <w:bCs/>
          <w:i/>
          <w:iCs/>
          <w:color w:val="2E6E62"/>
        </w:rPr>
        <w:t xml:space="preserve">Note: </w:t>
      </w:r>
      <w:r>
        <w:rPr>
          <w:i/>
          <w:iCs/>
          <w:color w:val="595959"/>
        </w:rPr>
        <w:t xml:space="preserve">The going-forward rule for any new screen: store and submit dates as ISO, and pipe any read-only display of that date through {{ value | format_date }}.</w:t>
      </w:r>
    </w:p>
    <w:p>
      <w:r>
        <w:br w:type="page"/>
      </w:r>
    </w:p>
    <w:p>
      <w:pPr>
        <w:pStyle w:val="Heading1"/>
        <w:pBdr>
          <w:bottom w:val="single" w:color="1F3864" w:sz="6" w:space="4"/>
        </w:pBdr>
        <w:spacing w:after="160" w:before="360"/>
      </w:pPr>
      <w:r>
        <w:t xml:space="preserve">2. Phone Numbers — Storage &amp; Display Rules</w:t>
      </w:r>
    </w:p>
    <w:p>
      <w:pPr>
        <w:pStyle w:val="Heading2"/>
        <w:spacing w:after="120" w:before="260"/>
      </w:pPr>
      <w:r>
        <w:t xml:space="preserve">2.1  How a phone number is stored</w:t>
      </w:r>
    </w:p>
    <w:p>
      <w:pPr>
        <w:spacing w:after="140" w:line="276"/>
      </w:pPr>
      <w:r>
        <w:t xml:space="preserve">A phone number is never stored as one string. It is kept in four separate columns so each part can be validated, sorted, and reformatted independently:</w:t>
      </w:r>
    </w:p>
    <w:p>
      <w:pPr>
        <w:pStyle w:val="ListParagraph"/>
        <w:numPr>
          <w:ilvl w:val="0"/>
          <w:numId w:val="2"/>
        </w:numPr>
        <w:spacing w:after="90" w:line="276"/>
      </w:pPr>
      <w:r>
        <w:rPr>
          <w:b/>
          <w:bCs/>
        </w:rPr>
        <w:t xml:space="preserve">country_code</w:t>
      </w:r>
      <w:r>
        <w:t xml:space="preserve"> — e.g. +1</w:t>
      </w:r>
    </w:p>
    <w:p>
      <w:pPr>
        <w:pStyle w:val="ListParagraph"/>
        <w:numPr>
          <w:ilvl w:val="0"/>
          <w:numId w:val="2"/>
        </w:numPr>
        <w:spacing w:after="90" w:line="276"/>
      </w:pPr>
      <w:r>
        <w:rPr>
          <w:b/>
          <w:bCs/>
        </w:rPr>
        <w:t xml:space="preserve">area_code</w:t>
      </w:r>
      <w:r>
        <w:t xml:space="preserve"> — optional; many countries (Pakistan is the example called out in the code) don’t use one for mobile numbers</w:t>
      </w:r>
    </w:p>
    <w:p>
      <w:pPr>
        <w:pStyle w:val="ListParagraph"/>
        <w:numPr>
          <w:ilvl w:val="0"/>
          <w:numId w:val="2"/>
        </w:numPr>
        <w:spacing w:after="90" w:line="276"/>
      </w:pPr>
      <w:r>
        <w:rPr>
          <w:b/>
          <w:bCs/>
        </w:rPr>
        <w:t xml:space="preserve">number</w:t>
      </w:r>
      <w:r>
        <w:t xml:space="preserve"> — required</w:t>
      </w:r>
    </w:p>
    <w:p>
      <w:pPr>
        <w:pStyle w:val="ListParagraph"/>
        <w:numPr>
          <w:ilvl w:val="0"/>
          <w:numId w:val="2"/>
        </w:numPr>
        <w:spacing w:after="90" w:line="276"/>
      </w:pPr>
      <w:r>
        <w:rPr>
          <w:b/>
          <w:bCs/>
        </w:rPr>
        <w:t xml:space="preserve">extension</w:t>
      </w:r>
      <w:r>
        <w:t xml:space="preserve"> — business numbers only</w:t>
      </w:r>
    </w:p>
    <w:p>
      <w:pPr>
        <w:spacing w:after="140" w:line="276"/>
      </w:pPr>
      <w:r>
        <w:t xml:space="preserve">This four-column shape repeats across every table that stores a phone number: contact_phones, cloud_platform_phones, desktop_software_license_phones, and (as a single JSON blob rather than columns) personal_accounts.associated_phone.</w:t>
      </w:r>
    </w:p>
    <w:p>
      <w:pPr>
        <w:pStyle w:val="Heading2"/>
        <w:spacing w:after="120" w:before="260"/>
      </w:pPr>
      <w:r>
        <w:t xml:space="preserve">2.2  Country-code display normalization</w:t>
      </w:r>
    </w:p>
    <w:p>
      <w:pPr>
        <w:spacing w:after="140" w:line="276"/>
      </w:pPr>
      <w:r>
        <w:t xml:space="preserve">Whatever a country code was typed as, the format_phone filter normalizes it for display so it always reads as a leading + followed by digits, never a leading 0:</w:t>
      </w:r>
    </w:p>
    <w:p>
      <w:pPr>
        <w:pStyle w:val="ListParagraph"/>
        <w:numPr>
          <w:ilvl w:val="0"/>
          <w:numId w:val="2"/>
        </w:numPr>
        <w:spacing w:after="90" w:line="276"/>
      </w:pPr>
      <w:r>
        <w:t xml:space="preserve">01 603 9757200  →  +1 603 9757200</w:t>
      </w:r>
    </w:p>
    <w:p>
      <w:pPr>
        <w:pStyle w:val="ListParagraph"/>
        <w:numPr>
          <w:ilvl w:val="0"/>
          <w:numId w:val="2"/>
        </w:numPr>
        <w:spacing w:after="90" w:line="276"/>
      </w:pPr>
      <w:r>
        <w:t xml:space="preserve">+1 (typed correctly)  →  +1  (left untouched — the normalizer is idempotent)</w:t>
      </w:r>
    </w:p>
    <w:p>
      <w:pPr>
        <w:spacing w:after="140" w:line="276"/>
      </w:pPr>
      <w:r>
        <w:rPr>
          <w:b/>
          <w:bCs/>
          <w:color w:val="1F3864"/>
        </w:rPr>
        <w:t xml:space="preserve">Where phone_type applies:  </w:t>
      </w:r>
      <w:r>
        <w:t xml:space="preserve">A contact phone additionally carries a phone_type, which is a fixed list, not an editable lookup table — see §3 for why.</w:t>
      </w:r>
    </w:p>
    <w:p>
      <w:pPr>
        <w:pStyle w:val="Heading2"/>
        <w:spacing w:after="120" w:before="260"/>
      </w:pPr>
      <w:r>
        <w:t xml:space="preserve">2.3  Where format_phone is applied</w:t>
      </w:r>
    </w:p>
    <w:p>
      <w:pPr>
        <w:spacing w:after="140" w:line="276"/>
      </w:pPr>
      <w:r>
        <w:t xml:space="preserve">The filter is used everywhere a stored phone is displayed to the user: the Contacts list (primary phone column), the Contact detail page, a Platform's detail page, a Software License's detail page, and a Personal Account's detail page. It is never applied to form input fields — those show and accept the raw stored parts so they can be edited.</w:t>
      </w:r>
    </w:p>
    <w:p>
      <w:pPr>
        <w:pBdr>
          <w:left w:val="single" w:color="2E6E62" w:sz="12" w:space="8"/>
        </w:pBdr>
        <w:spacing w:after="200" w:before="60" w:line="276"/>
        <w:ind w:left="260"/>
      </w:pPr>
      <w:r>
        <w:rPr>
          <w:b/>
          <w:bCs/>
          <w:i/>
          <w:iCs/>
          <w:color w:val="2E6E62"/>
        </w:rPr>
        <w:t xml:space="preserve">Note: </w:t>
      </w:r>
      <w:r>
        <w:rPr>
          <w:i/>
          <w:iCs/>
          <w:color w:val="595959"/>
        </w:rPr>
        <w:t xml:space="preserve">format_phone also quietly avoids the classic “xNone” or stray-“None” bug: any part that is blank, missing, or literally the text “none” is treated as absent rather than printed.</w:t>
      </w:r>
    </w:p>
    <w:p>
      <w:r>
        <w:br w:type="page"/>
      </w:r>
    </w:p>
    <w:p>
      <w:pPr>
        <w:pStyle w:val="Heading1"/>
        <w:pBdr>
          <w:bottom w:val="single" w:color="1F3864" w:sz="6" w:space="4"/>
        </w:pBdr>
        <w:spacing w:after="160" w:before="360"/>
      </w:pPr>
      <w:r>
        <w:t xml:space="preserve">3. Lookup Tables — Configuration, Editing &amp; Deletion</w:t>
      </w:r>
    </w:p>
    <w:p>
      <w:pPr>
        <w:spacing w:after="140" w:line="276"/>
      </w:pPr>
      <w:r>
        <w:t xml:space="preserve">A “lookup table” in PIMS is any small reference list — Contact Categories, Titles, Professions, Organization Types, and so on — that a master record (a Contact, an Organization, a piece of Content…) points to by foreign key rather than storing the text itself. All of them share one physical shape, and one screen (Table Maintenance) manages every one of them the same way.</w:t>
      </w:r>
    </w:p>
    <w:p>
      <w:pPr>
        <w:pStyle w:val="Heading2"/>
        <w:spacing w:after="120" w:before="260"/>
      </w:pPr>
      <w:r>
        <w:t xml:space="preserve">3.1  The standard shape</w:t>
      </w:r>
    </w:p>
    <w:p>
      <w:pPr>
        <w:spacing w:after="140" w:line="276"/>
      </w:pPr>
      <w:r>
        <w:t xml:space="preserve">Every lookup table has exactly these six columns:</w:t>
      </w:r>
    </w:p>
    <w:p>
      <w:pPr>
        <w:pStyle w:val="ListParagraph"/>
        <w:numPr>
          <w:ilvl w:val="0"/>
          <w:numId w:val="2"/>
        </w:numPr>
        <w:spacing w:after="90" w:line="276"/>
      </w:pPr>
      <w:r>
        <w:rPr>
          <w:b/>
          <w:bCs/>
        </w:rPr>
        <w:t xml:space="preserve">id</w:t>
      </w:r>
      <w:r>
        <w:t xml:space="preserve">  — surrogate primary key</w:t>
      </w:r>
    </w:p>
    <w:p>
      <w:pPr>
        <w:pStyle w:val="ListParagraph"/>
        <w:numPr>
          <w:ilvl w:val="0"/>
          <w:numId w:val="2"/>
        </w:numPr>
        <w:spacing w:after="90" w:line="276"/>
      </w:pPr>
      <w:r>
        <w:rPr>
          <w:b/>
          <w:bCs/>
        </w:rPr>
        <w:t xml:space="preserve">code</w:t>
      </w:r>
      <w:r>
        <w:t xml:space="preserve">  — optional short machine code, must be unique if set</w:t>
      </w:r>
    </w:p>
    <w:p>
      <w:pPr>
        <w:pStyle w:val="ListParagraph"/>
        <w:numPr>
          <w:ilvl w:val="0"/>
          <w:numId w:val="2"/>
        </w:numPr>
        <w:spacing w:after="90" w:line="276"/>
      </w:pPr>
      <w:r>
        <w:rPr>
          <w:b/>
          <w:bCs/>
        </w:rPr>
        <w:t xml:space="preserve">label</w:t>
      </w:r>
      <w:r>
        <w:t xml:space="preserve">  — required, the text shown everywhere</w:t>
      </w:r>
    </w:p>
    <w:p>
      <w:pPr>
        <w:pStyle w:val="ListParagraph"/>
        <w:numPr>
          <w:ilvl w:val="0"/>
          <w:numId w:val="2"/>
        </w:numPr>
        <w:spacing w:after="90" w:line="276"/>
      </w:pPr>
      <w:r>
        <w:rPr>
          <w:b/>
          <w:bCs/>
        </w:rPr>
        <w:t xml:space="preserve">description</w:t>
      </w:r>
      <w:r>
        <w:t xml:space="preserve">  — optional</w:t>
      </w:r>
    </w:p>
    <w:p>
      <w:pPr>
        <w:pStyle w:val="ListParagraph"/>
        <w:numPr>
          <w:ilvl w:val="0"/>
          <w:numId w:val="2"/>
        </w:numPr>
        <w:spacing w:after="90" w:line="276"/>
      </w:pPr>
      <w:r>
        <w:rPr>
          <w:b/>
          <w:bCs/>
        </w:rPr>
        <w:t xml:space="preserve">sort_order</w:t>
      </w:r>
      <w:r>
        <w:t xml:space="preserve">  — controls list/dropdown ordering</w:t>
      </w:r>
    </w:p>
    <w:p>
      <w:pPr>
        <w:pStyle w:val="ListParagraph"/>
        <w:numPr>
          <w:ilvl w:val="0"/>
          <w:numId w:val="2"/>
        </w:numPr>
        <w:spacing w:after="90" w:line="276"/>
      </w:pPr>
      <w:r>
        <w:rPr>
          <w:b/>
          <w:bCs/>
        </w:rPr>
        <w:t xml:space="preserve">is_active</w:t>
      </w:r>
      <w:r>
        <w:t xml:space="preserve">  — governs the deactivate rule below</w:t>
      </w:r>
    </w:p>
    <w:p>
      <w:pPr>
        <w:spacing w:after="140" w:line="276"/>
      </w:pPr>
      <w:r>
        <w:t xml:space="preserve">Because every master table stores the lookup row's id (a foreign key), not a copy of its label text, renaming or re-spelling an entry through Table Maintenance needs no propagation step at all — the new label is reflected instantly everywhere that row is already in use.</w:t>
      </w:r>
    </w:p>
    <w:p>
      <w:pPr>
        <w:pStyle w:val="Heading2"/>
        <w:spacing w:after="120" w:before="260"/>
      </w:pPr>
      <w:r>
        <w:t xml:space="preserve">3.2  Deactivate vs. delete</w:t>
      </w:r>
    </w:p>
    <w:p>
      <w:pPr>
        <w:spacing w:after="140" w:line="276"/>
      </w:pPr>
      <w:r>
        <w:rPr>
          <w:b/>
          <w:bCs/>
          <w:color w:val="1F3864"/>
        </w:rPr>
        <w:t xml:space="preserve">Deactivate (is_active = 0):  </w:t>
      </w:r>
      <w:r>
        <w:t xml:space="preserve">Hides the entry from new-record dropdowns going forward but leaves it, and everything that already points to it, completely untouched. This is the safe, reversible choice — toggle it back on any time.</w:t>
      </w:r>
    </w:p>
    <w:p>
      <w:pPr>
        <w:spacing w:after="140" w:line="276"/>
      </w:pPr>
      <w:r>
        <w:rPr>
          <w:b/>
          <w:bCs/>
          <w:color w:val="1F3864"/>
        </w:rPr>
        <w:t xml:space="preserve">Delete:  </w:t>
      </w:r>
      <w:r>
        <w:t xml:space="preserve">Only allowed while the entry is unused. The moment Table Maintenance sees the entry is still referenced by one or more records, it blocks the delete and routes to Reassign instead of letting the database throw a raw foreign-key error.</w:t>
      </w:r>
    </w:p>
    <w:p>
      <w:pPr>
        <w:pStyle w:val="Heading2"/>
        <w:spacing w:after="120" w:before="260"/>
      </w:pPr>
      <w:r>
        <w:t xml:space="preserve">3.3  Reassign / merge</w:t>
      </w:r>
    </w:p>
    <w:p>
      <w:pPr>
        <w:spacing w:after="140" w:line="276"/>
      </w:pPr>
      <w:r>
        <w:t xml:space="preserve">Reassign does two related jobs with the same mechanism: it is how a blocked delete gets un-blocked (move every record pointing at the old entry over to a different one, then optionally delete the now-unused old entry), and it is also the tool for merging two near-duplicate entries — e.g. “Accountant” and “CPA” — independent of any delete attempt. It is reachable directly from a lookup table's list as a standalone “merge into…” action.</w:t>
      </w:r>
    </w:p>
    <w:p>
      <w:pPr>
        <w:pStyle w:val="Heading2"/>
        <w:spacing w:after="120" w:before="260"/>
      </w:pPr>
      <w:r>
        <w:t xml:space="preserve">3.4  Nested (parent/child) lookup tables</w:t>
      </w:r>
    </w:p>
    <w:p>
      <w:pPr>
        <w:spacing w:after="140" w:line="276"/>
      </w:pPr>
      <w:r>
        <w:t xml:space="preserve">Two lookup tables in the registry are nested one level under another lookup table rather than standing alone: Knowledge Sub-Domains under Knowledge Domains, and Content Sub-Types under Content Types. A nested table's add/edit form gains a required parent picker, and its list shows which parent each row belongs to. Only one level of nesting is supported.</w:t>
      </w:r>
    </w:p>
    <w:p>
      <w:pPr>
        <w:pStyle w:val="Heading2"/>
        <w:spacing w:after="120" w:before="260"/>
      </w:pPr>
      <w:r>
        <w:t xml:space="preserve">3.5  Organizations are governed the same way, but live outside Table Maintenance</w:t>
      </w:r>
    </w:p>
    <w:p>
      <w:pPr>
        <w:spacing w:after="140" w:line="276"/>
      </w:pPr>
      <w:r>
        <w:t xml:space="preserve">Organizations follow the identical deactivate/delete/reassign philosophy — deletion is blocked outright by PRAGMA foreign_keys = ON while any Contact, Personal Account, or Software License still references it, with a reassign/merge screen to consolidate duplicates (for example “Acme Inc.” vs. “ACME, Inc.” picked up from an import). Organizations get their own dedicated screen rather than Table Maintenance's generic one because the table is shared more broadly and carries a richer field set (address, phone, email, type) than a plain code/label lookup, and there is deliberately no organizations_archive table — an organization is treated as shared reference data, not an owned record with its own history.</w:t>
      </w:r>
    </w:p>
    <w:p>
      <w:pPr>
        <w:pStyle w:val="Heading2"/>
        <w:spacing w:after="120" w:before="260"/>
      </w:pPr>
      <w:r>
        <w:t xml:space="preserve">3.6  Fixed lists that are NOT lookup tables</w:t>
      </w:r>
    </w:p>
    <w:p>
      <w:pPr>
        <w:spacing w:after="140" w:line="276"/>
      </w:pPr>
      <w:r>
        <w:t xml:space="preserve">Two small enumerated fields are deliberately kept as hard-coded Python lists validated server-side, rather than made into editable Table Maintenance lookup tables, because their values are structural (used in CHECK constraints and business logic) rather than free-form reference data:</w:t>
      </w:r>
    </w:p>
    <w:p>
      <w:pPr>
        <w:pStyle w:val="ListParagraph"/>
        <w:numPr>
          <w:ilvl w:val="0"/>
          <w:numId w:val="2"/>
        </w:numPr>
        <w:spacing w:after="90" w:line="276"/>
      </w:pPr>
      <w:r>
        <w:rPr>
          <w:b/>
          <w:bCs/>
        </w:rPr>
        <w:t xml:space="preserve">Contact → Gender</w:t>
      </w:r>
      <w:r>
        <w:t xml:space="preserve">  —  Male, Female, Other</w:t>
      </w:r>
    </w:p>
    <w:p>
      <w:pPr>
        <w:pStyle w:val="ListParagraph"/>
        <w:numPr>
          <w:ilvl w:val="0"/>
          <w:numId w:val="2"/>
        </w:numPr>
        <w:spacing w:after="90" w:line="276"/>
      </w:pPr>
      <w:r>
        <w:rPr>
          <w:b/>
          <w:bCs/>
        </w:rPr>
        <w:t xml:space="preserve">Contact Phone → Phone Type</w:t>
      </w:r>
      <w:r>
        <w:t xml:space="preserve">  —  Business, Home, Mobile, WhatsApp, Business Fax</w:t>
      </w:r>
    </w:p>
    <w:p>
      <w:pPr>
        <w:pBdr>
          <w:left w:val="single" w:color="2E6E62" w:sz="12" w:space="8"/>
        </w:pBdr>
        <w:spacing w:after="200" w:before="60" w:line="276"/>
        <w:ind w:left="260"/>
      </w:pPr>
      <w:r>
        <w:rPr>
          <w:b/>
          <w:bCs/>
          <w:i/>
          <w:iCs/>
          <w:color w:val="2E6E62"/>
        </w:rPr>
        <w:t xml:space="preserve">Note: </w:t>
      </w:r>
      <w:r>
        <w:rPr>
          <w:i/>
          <w:iCs/>
          <w:color w:val="595959"/>
        </w:rPr>
        <w:t xml:space="preserve">If a future need arises to add a value to either list, it requires a small code change (and, for Phone Type, a schema CHECK-constraint update) rather than a Table Maintenance edit — that is the intended trade-off for keeping these two fields structural.</w:t>
      </w:r>
    </w:p>
    <w:p>
      <w:pPr>
        <w:pStyle w:val="Heading2"/>
        <w:spacing w:after="120" w:before="260"/>
      </w:pPr>
      <w:r>
        <w:t xml:space="preserve">3.7  Full lookup table registry</w:t>
      </w:r>
    </w:p>
    <w:p>
      <w:pPr>
        <w:spacing w:after="140" w:line="276"/>
      </w:pPr>
      <w:r>
        <w:t xml:space="preserve">Every table currently managed by Table Maintenance, what it's called on screen, and what master data points at it: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3400"/>
        <w:gridCol w:w="1660"/>
      </w:tblGrid>
      <w:tr>
        <w:trPr>
          <w:tblHeader/>
        </w:trPr>
        <w:tc>
          <w:tcPr>
            <w:tcW w:type="dxa" w:w="2400"/>
            <w:shd w:fill="1F3864" w:val="clear"/>
            <w:tcMar>
              <w:top w:type="dxa" w:w="60"/>
              <w:left w:type="dxa" w:w="100"/>
              <w:bottom w:type="dxa" w:w="60"/>
              <w:right w:type="dxa" w:w="100"/>
            </w:tcMar>
          </w:tcPr>
          <w:p>
            <w:pPr>
              <w:jc w:val="left"/>
            </w:pPr>
            <w:r>
              <w:rPr>
                <w:b/>
                <w:bCs/>
                <w:color w:val="FFFFFF"/>
                <w:sz w:val="20"/>
                <w:szCs w:val="20"/>
              </w:rPr>
              <w:t xml:space="preserve">Table Maintenance label</w:t>
            </w:r>
          </w:p>
        </w:tc>
        <w:tc>
          <w:tcPr>
            <w:tcW w:type="dxa" w:w="2100"/>
            <w:shd w:fill="1F3864" w:val="clear"/>
            <w:tcMar>
              <w:top w:type="dxa" w:w="60"/>
              <w:left w:type="dxa" w:w="100"/>
              <w:bottom w:type="dxa" w:w="60"/>
              <w:right w:type="dxa" w:w="100"/>
            </w:tcMar>
          </w:tcPr>
          <w:p>
            <w:pPr>
              <w:jc w:val="left"/>
            </w:pPr>
            <w:r>
              <w:rPr>
                <w:b/>
                <w:bCs/>
                <w:color w:val="FFFFFF"/>
                <w:sz w:val="20"/>
                <w:szCs w:val="20"/>
              </w:rPr>
              <w:t xml:space="preserve">Database table</w:t>
            </w:r>
          </w:p>
        </w:tc>
        <w:tc>
          <w:tcPr>
            <w:tcW w:type="dxa" w:w="3400"/>
            <w:shd w:fill="1F3864" w:val="clear"/>
            <w:tcMar>
              <w:top w:type="dxa" w:w="60"/>
              <w:left w:type="dxa" w:w="100"/>
              <w:bottom w:type="dxa" w:w="60"/>
              <w:right w:type="dxa" w:w="100"/>
            </w:tcMar>
          </w:tcPr>
          <w:p>
            <w:pPr>
              <w:jc w:val="left"/>
            </w:pPr>
            <w:r>
              <w:rPr>
                <w:b/>
                <w:bCs/>
                <w:color w:val="FFFFFF"/>
                <w:sz w:val="20"/>
                <w:szCs w:val="20"/>
              </w:rPr>
              <w:t xml:space="preserve">Referenced by (foreign key)</w:t>
            </w:r>
          </w:p>
        </w:tc>
        <w:tc>
          <w:tcPr>
            <w:tcW w:type="dxa" w:w="1660"/>
            <w:shd w:fill="1F3864" w:val="clear"/>
            <w:tcMar>
              <w:top w:type="dxa" w:w="60"/>
              <w:left w:type="dxa" w:w="100"/>
              <w:bottom w:type="dxa" w:w="60"/>
              <w:right w:type="dxa" w:w="100"/>
            </w:tcMar>
          </w:tcPr>
          <w:p>
            <w:pPr>
              <w:jc w:val="left"/>
            </w:pPr>
            <w:r>
              <w:rPr>
                <w:b/>
                <w:bCs/>
                <w:color w:val="FFFFFF"/>
                <w:sz w:val="20"/>
                <w:szCs w:val="20"/>
              </w:rPr>
              <w:t xml:space="preserve">Nested under</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Contact Categories</w:t>
            </w:r>
          </w:p>
        </w:tc>
        <w:tc>
          <w:tcPr>
            <w:tcW w:type="dxa" w:w="2100"/>
            <w:tcMar>
              <w:top w:type="dxa" w:w="60"/>
              <w:left w:type="dxa" w:w="100"/>
              <w:bottom w:type="dxa" w:w="60"/>
              <w:right w:type="dxa" w:w="100"/>
            </w:tcMar>
          </w:tcPr>
          <w:p>
            <w:pPr>
              <w:jc w:val="left"/>
            </w:pPr>
            <w:r>
              <w:rPr>
                <w:b w:val="false"/>
                <w:bCs w:val="false"/>
                <w:color w:val="000000"/>
                <w:sz w:val="20"/>
                <w:szCs w:val="20"/>
              </w:rPr>
              <w:t xml:space="preserve">contact_categories</w:t>
            </w:r>
          </w:p>
        </w:tc>
        <w:tc>
          <w:tcPr>
            <w:tcW w:type="dxa" w:w="3400"/>
            <w:tcMar>
              <w:top w:type="dxa" w:w="60"/>
              <w:left w:type="dxa" w:w="100"/>
              <w:bottom w:type="dxa" w:w="60"/>
              <w:right w:type="dxa" w:w="100"/>
            </w:tcMar>
          </w:tcPr>
          <w:p>
            <w:pPr>
              <w:jc w:val="left"/>
            </w:pPr>
            <w:r>
              <w:rPr>
                <w:b w:val="false"/>
                <w:bCs w:val="false"/>
                <w:color w:val="000000"/>
                <w:sz w:val="20"/>
                <w:szCs w:val="20"/>
              </w:rPr>
              <w:t xml:space="preserve">contacts.contact_category_id</w:t>
            </w:r>
          </w:p>
        </w:tc>
        <w:tc>
          <w:tcPr>
            <w:tcW w:type="dxa" w:w="1660"/>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400"/>
            <w:shd w:fill="EEF2F1" w:val="clear"/>
            <w:tcMar>
              <w:top w:type="dxa" w:w="60"/>
              <w:left w:type="dxa" w:w="100"/>
              <w:bottom w:type="dxa" w:w="60"/>
              <w:right w:type="dxa" w:w="100"/>
            </w:tcMar>
          </w:tcPr>
          <w:p>
            <w:pPr>
              <w:jc w:val="left"/>
            </w:pPr>
            <w:r>
              <w:rPr>
                <w:b w:val="false"/>
                <w:bCs w:val="false"/>
                <w:color w:val="000000"/>
                <w:sz w:val="20"/>
                <w:szCs w:val="20"/>
              </w:rPr>
              <w:t xml:space="preserve">Titles</w:t>
            </w:r>
          </w:p>
        </w:tc>
        <w:tc>
          <w:tcPr>
            <w:tcW w:type="dxa" w:w="2100"/>
            <w:shd w:fill="EEF2F1" w:val="clear"/>
            <w:tcMar>
              <w:top w:type="dxa" w:w="60"/>
              <w:left w:type="dxa" w:w="100"/>
              <w:bottom w:type="dxa" w:w="60"/>
              <w:right w:type="dxa" w:w="100"/>
            </w:tcMar>
          </w:tcPr>
          <w:p>
            <w:pPr>
              <w:jc w:val="left"/>
            </w:pPr>
            <w:r>
              <w:rPr>
                <w:b w:val="false"/>
                <w:bCs w:val="false"/>
                <w:color w:val="000000"/>
                <w:sz w:val="20"/>
                <w:szCs w:val="20"/>
              </w:rPr>
              <w:t xml:space="preserve">contact_titles</w:t>
            </w:r>
          </w:p>
        </w:tc>
        <w:tc>
          <w:tcPr>
            <w:tcW w:type="dxa" w:w="3400"/>
            <w:shd w:fill="EEF2F1" w:val="clear"/>
            <w:tcMar>
              <w:top w:type="dxa" w:w="60"/>
              <w:left w:type="dxa" w:w="100"/>
              <w:bottom w:type="dxa" w:w="60"/>
              <w:right w:type="dxa" w:w="100"/>
            </w:tcMar>
          </w:tcPr>
          <w:p>
            <w:pPr>
              <w:jc w:val="left"/>
            </w:pPr>
            <w:r>
              <w:rPr>
                <w:b w:val="false"/>
                <w:bCs w:val="false"/>
                <w:color w:val="000000"/>
                <w:sz w:val="20"/>
                <w:szCs w:val="20"/>
              </w:rPr>
              <w:t xml:space="preserve">contacts.title_id</w:t>
            </w:r>
          </w:p>
        </w:tc>
        <w:tc>
          <w:tcPr>
            <w:tcW w:type="dxa" w:w="1660"/>
            <w:shd w:fill="EEF2F1" w:val="clear"/>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Suffixes</w:t>
            </w:r>
          </w:p>
        </w:tc>
        <w:tc>
          <w:tcPr>
            <w:tcW w:type="dxa" w:w="2100"/>
            <w:tcMar>
              <w:top w:type="dxa" w:w="60"/>
              <w:left w:type="dxa" w:w="100"/>
              <w:bottom w:type="dxa" w:w="60"/>
              <w:right w:type="dxa" w:w="100"/>
            </w:tcMar>
          </w:tcPr>
          <w:p>
            <w:pPr>
              <w:jc w:val="left"/>
            </w:pPr>
            <w:r>
              <w:rPr>
                <w:b w:val="false"/>
                <w:bCs w:val="false"/>
                <w:color w:val="000000"/>
                <w:sz w:val="20"/>
                <w:szCs w:val="20"/>
              </w:rPr>
              <w:t xml:space="preserve">contact_suffixes</w:t>
            </w:r>
          </w:p>
        </w:tc>
        <w:tc>
          <w:tcPr>
            <w:tcW w:type="dxa" w:w="3400"/>
            <w:tcMar>
              <w:top w:type="dxa" w:w="60"/>
              <w:left w:type="dxa" w:w="100"/>
              <w:bottom w:type="dxa" w:w="60"/>
              <w:right w:type="dxa" w:w="100"/>
            </w:tcMar>
          </w:tcPr>
          <w:p>
            <w:pPr>
              <w:jc w:val="left"/>
            </w:pPr>
            <w:r>
              <w:rPr>
                <w:b w:val="false"/>
                <w:bCs w:val="false"/>
                <w:color w:val="000000"/>
                <w:sz w:val="20"/>
                <w:szCs w:val="20"/>
              </w:rPr>
              <w:t xml:space="preserve">contacts.suffix_id</w:t>
            </w:r>
          </w:p>
        </w:tc>
        <w:tc>
          <w:tcPr>
            <w:tcW w:type="dxa" w:w="1660"/>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400"/>
            <w:shd w:fill="EEF2F1" w:val="clear"/>
            <w:tcMar>
              <w:top w:type="dxa" w:w="60"/>
              <w:left w:type="dxa" w:w="100"/>
              <w:bottom w:type="dxa" w:w="60"/>
              <w:right w:type="dxa" w:w="100"/>
            </w:tcMar>
          </w:tcPr>
          <w:p>
            <w:pPr>
              <w:jc w:val="left"/>
            </w:pPr>
            <w:r>
              <w:rPr>
                <w:b w:val="false"/>
                <w:bCs w:val="false"/>
                <w:color w:val="000000"/>
                <w:sz w:val="20"/>
                <w:szCs w:val="20"/>
              </w:rPr>
              <w:t xml:space="preserve">Professions</w:t>
            </w:r>
          </w:p>
        </w:tc>
        <w:tc>
          <w:tcPr>
            <w:tcW w:type="dxa" w:w="2100"/>
            <w:shd w:fill="EEF2F1" w:val="clear"/>
            <w:tcMar>
              <w:top w:type="dxa" w:w="60"/>
              <w:left w:type="dxa" w:w="100"/>
              <w:bottom w:type="dxa" w:w="60"/>
              <w:right w:type="dxa" w:w="100"/>
            </w:tcMar>
          </w:tcPr>
          <w:p>
            <w:pPr>
              <w:jc w:val="left"/>
            </w:pPr>
            <w:r>
              <w:rPr>
                <w:b w:val="false"/>
                <w:bCs w:val="false"/>
                <w:color w:val="000000"/>
                <w:sz w:val="20"/>
                <w:szCs w:val="20"/>
              </w:rPr>
              <w:t xml:space="preserve">professions</w:t>
            </w:r>
          </w:p>
        </w:tc>
        <w:tc>
          <w:tcPr>
            <w:tcW w:type="dxa" w:w="3400"/>
            <w:shd w:fill="EEF2F1" w:val="clear"/>
            <w:tcMar>
              <w:top w:type="dxa" w:w="60"/>
              <w:left w:type="dxa" w:w="100"/>
              <w:bottom w:type="dxa" w:w="60"/>
              <w:right w:type="dxa" w:w="100"/>
            </w:tcMar>
          </w:tcPr>
          <w:p>
            <w:pPr>
              <w:jc w:val="left"/>
            </w:pPr>
            <w:r>
              <w:rPr>
                <w:b w:val="false"/>
                <w:bCs w:val="false"/>
                <w:color w:val="000000"/>
                <w:sz w:val="20"/>
                <w:szCs w:val="20"/>
              </w:rPr>
              <w:t xml:space="preserve">contacts.profession_id</w:t>
            </w:r>
          </w:p>
        </w:tc>
        <w:tc>
          <w:tcPr>
            <w:tcW w:type="dxa" w:w="1660"/>
            <w:shd w:fill="EEF2F1" w:val="clear"/>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Contexts</w:t>
            </w:r>
          </w:p>
        </w:tc>
        <w:tc>
          <w:tcPr>
            <w:tcW w:type="dxa" w:w="2100"/>
            <w:tcMar>
              <w:top w:type="dxa" w:w="60"/>
              <w:left w:type="dxa" w:w="100"/>
              <w:bottom w:type="dxa" w:w="60"/>
              <w:right w:type="dxa" w:w="100"/>
            </w:tcMar>
          </w:tcPr>
          <w:p>
            <w:pPr>
              <w:jc w:val="left"/>
            </w:pPr>
            <w:r>
              <w:rPr>
                <w:b w:val="false"/>
                <w:bCs w:val="false"/>
                <w:color w:val="000000"/>
                <w:sz w:val="20"/>
                <w:szCs w:val="20"/>
              </w:rPr>
              <w:t xml:space="preserve">contact_contexts</w:t>
            </w:r>
          </w:p>
        </w:tc>
        <w:tc>
          <w:tcPr>
            <w:tcW w:type="dxa" w:w="3400"/>
            <w:tcMar>
              <w:top w:type="dxa" w:w="60"/>
              <w:left w:type="dxa" w:w="100"/>
              <w:bottom w:type="dxa" w:w="60"/>
              <w:right w:type="dxa" w:w="100"/>
            </w:tcMar>
          </w:tcPr>
          <w:p>
            <w:pPr>
              <w:jc w:val="left"/>
            </w:pPr>
            <w:r>
              <w:rPr>
                <w:b w:val="false"/>
                <w:bCs w:val="false"/>
                <w:color w:val="000000"/>
                <w:sz w:val="20"/>
                <w:szCs w:val="20"/>
              </w:rPr>
              <w:t xml:space="preserve">contacts.context_id</w:t>
            </w:r>
          </w:p>
        </w:tc>
        <w:tc>
          <w:tcPr>
            <w:tcW w:type="dxa" w:w="1660"/>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400"/>
            <w:shd w:fill="EEF2F1" w:val="clear"/>
            <w:tcMar>
              <w:top w:type="dxa" w:w="60"/>
              <w:left w:type="dxa" w:w="100"/>
              <w:bottom w:type="dxa" w:w="60"/>
              <w:right w:type="dxa" w:w="100"/>
            </w:tcMar>
          </w:tcPr>
          <w:p>
            <w:pPr>
              <w:jc w:val="left"/>
            </w:pPr>
            <w:r>
              <w:rPr>
                <w:b w:val="false"/>
                <w:bCs w:val="false"/>
                <w:color w:val="000000"/>
                <w:sz w:val="20"/>
                <w:szCs w:val="20"/>
              </w:rPr>
              <w:t xml:space="preserve">Account Types</w:t>
            </w:r>
          </w:p>
        </w:tc>
        <w:tc>
          <w:tcPr>
            <w:tcW w:type="dxa" w:w="2100"/>
            <w:shd w:fill="EEF2F1" w:val="clear"/>
            <w:tcMar>
              <w:top w:type="dxa" w:w="60"/>
              <w:left w:type="dxa" w:w="100"/>
              <w:bottom w:type="dxa" w:w="60"/>
              <w:right w:type="dxa" w:w="100"/>
            </w:tcMar>
          </w:tcPr>
          <w:p>
            <w:pPr>
              <w:jc w:val="left"/>
            </w:pPr>
            <w:r>
              <w:rPr>
                <w:b w:val="false"/>
                <w:bCs w:val="false"/>
                <w:color w:val="000000"/>
                <w:sz w:val="20"/>
                <w:szCs w:val="20"/>
              </w:rPr>
              <w:t xml:space="preserve">personal_account_types</w:t>
            </w:r>
          </w:p>
        </w:tc>
        <w:tc>
          <w:tcPr>
            <w:tcW w:type="dxa" w:w="3400"/>
            <w:shd w:fill="EEF2F1" w:val="clear"/>
            <w:tcMar>
              <w:top w:type="dxa" w:w="60"/>
              <w:left w:type="dxa" w:w="100"/>
              <w:bottom w:type="dxa" w:w="60"/>
              <w:right w:type="dxa" w:w="100"/>
            </w:tcMar>
          </w:tcPr>
          <w:p>
            <w:pPr>
              <w:jc w:val="left"/>
            </w:pPr>
            <w:r>
              <w:rPr>
                <w:b w:val="false"/>
                <w:bCs w:val="false"/>
                <w:color w:val="000000"/>
                <w:sz w:val="20"/>
                <w:szCs w:val="20"/>
              </w:rPr>
              <w:t xml:space="preserve">personal_accounts.account_type_id</w:t>
            </w:r>
          </w:p>
        </w:tc>
        <w:tc>
          <w:tcPr>
            <w:tcW w:type="dxa" w:w="1660"/>
            <w:shd w:fill="EEF2F1" w:val="clear"/>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Service Types</w:t>
            </w:r>
          </w:p>
        </w:tc>
        <w:tc>
          <w:tcPr>
            <w:tcW w:type="dxa" w:w="2100"/>
            <w:tcMar>
              <w:top w:type="dxa" w:w="60"/>
              <w:left w:type="dxa" w:w="100"/>
              <w:bottom w:type="dxa" w:w="60"/>
              <w:right w:type="dxa" w:w="100"/>
            </w:tcMar>
          </w:tcPr>
          <w:p>
            <w:pPr>
              <w:jc w:val="left"/>
            </w:pPr>
            <w:r>
              <w:rPr>
                <w:b w:val="false"/>
                <w:bCs w:val="false"/>
                <w:color w:val="000000"/>
                <w:sz w:val="20"/>
                <w:szCs w:val="20"/>
              </w:rPr>
              <w:t xml:space="preserve">service_types</w:t>
            </w:r>
          </w:p>
        </w:tc>
        <w:tc>
          <w:tcPr>
            <w:tcW w:type="dxa" w:w="3400"/>
            <w:tcMar>
              <w:top w:type="dxa" w:w="60"/>
              <w:left w:type="dxa" w:w="100"/>
              <w:bottom w:type="dxa" w:w="60"/>
              <w:right w:type="dxa" w:w="100"/>
            </w:tcMar>
          </w:tcPr>
          <w:p>
            <w:pPr>
              <w:jc w:val="left"/>
            </w:pPr>
            <w:r>
              <w:rPr>
                <w:b w:val="false"/>
                <w:bCs w:val="false"/>
                <w:color w:val="000000"/>
                <w:sz w:val="20"/>
                <w:szCs w:val="20"/>
              </w:rPr>
              <w:t xml:space="preserve">cloud_platforms.service_type_id</w:t>
            </w:r>
          </w:p>
        </w:tc>
        <w:tc>
          <w:tcPr>
            <w:tcW w:type="dxa" w:w="1660"/>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400"/>
            <w:shd w:fill="EEF2F1" w:val="clear"/>
            <w:tcMar>
              <w:top w:type="dxa" w:w="60"/>
              <w:left w:type="dxa" w:w="100"/>
              <w:bottom w:type="dxa" w:w="60"/>
              <w:right w:type="dxa" w:w="100"/>
            </w:tcMar>
          </w:tcPr>
          <w:p>
            <w:pPr>
              <w:jc w:val="left"/>
            </w:pPr>
            <w:r>
              <w:rPr>
                <w:b w:val="false"/>
                <w:bCs w:val="false"/>
                <w:color w:val="000000"/>
                <w:sz w:val="20"/>
                <w:szCs w:val="20"/>
              </w:rPr>
              <w:t xml:space="preserve">Organization Types</w:t>
            </w:r>
          </w:p>
        </w:tc>
        <w:tc>
          <w:tcPr>
            <w:tcW w:type="dxa" w:w="2100"/>
            <w:shd w:fill="EEF2F1" w:val="clear"/>
            <w:tcMar>
              <w:top w:type="dxa" w:w="60"/>
              <w:left w:type="dxa" w:w="100"/>
              <w:bottom w:type="dxa" w:w="60"/>
              <w:right w:type="dxa" w:w="100"/>
            </w:tcMar>
          </w:tcPr>
          <w:p>
            <w:pPr>
              <w:jc w:val="left"/>
            </w:pPr>
            <w:r>
              <w:rPr>
                <w:b w:val="false"/>
                <w:bCs w:val="false"/>
                <w:color w:val="000000"/>
                <w:sz w:val="20"/>
                <w:szCs w:val="20"/>
              </w:rPr>
              <w:t xml:space="preserve">organization_types</w:t>
            </w:r>
          </w:p>
        </w:tc>
        <w:tc>
          <w:tcPr>
            <w:tcW w:type="dxa" w:w="3400"/>
            <w:shd w:fill="EEF2F1" w:val="clear"/>
            <w:tcMar>
              <w:top w:type="dxa" w:w="60"/>
              <w:left w:type="dxa" w:w="100"/>
              <w:bottom w:type="dxa" w:w="60"/>
              <w:right w:type="dxa" w:w="100"/>
            </w:tcMar>
          </w:tcPr>
          <w:p>
            <w:pPr>
              <w:jc w:val="left"/>
            </w:pPr>
            <w:r>
              <w:rPr>
                <w:b w:val="false"/>
                <w:bCs w:val="false"/>
                <w:color w:val="000000"/>
                <w:sz w:val="20"/>
                <w:szCs w:val="20"/>
              </w:rPr>
              <w:t xml:space="preserve">organizations.organization_type_id</w:t>
            </w:r>
          </w:p>
        </w:tc>
        <w:tc>
          <w:tcPr>
            <w:tcW w:type="dxa" w:w="1660"/>
            <w:shd w:fill="EEF2F1" w:val="clear"/>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Knowledge Domains</w:t>
            </w:r>
          </w:p>
        </w:tc>
        <w:tc>
          <w:tcPr>
            <w:tcW w:type="dxa" w:w="2100"/>
            <w:tcMar>
              <w:top w:type="dxa" w:w="60"/>
              <w:left w:type="dxa" w:w="100"/>
              <w:bottom w:type="dxa" w:w="60"/>
              <w:right w:type="dxa" w:w="100"/>
            </w:tcMar>
          </w:tcPr>
          <w:p>
            <w:pPr>
              <w:jc w:val="left"/>
            </w:pPr>
            <w:r>
              <w:rPr>
                <w:b w:val="false"/>
                <w:bCs w:val="false"/>
                <w:color w:val="000000"/>
                <w:sz w:val="20"/>
                <w:szCs w:val="20"/>
              </w:rPr>
              <w:t xml:space="preserve">knowledge_domains</w:t>
            </w:r>
          </w:p>
        </w:tc>
        <w:tc>
          <w:tcPr>
            <w:tcW w:type="dxa" w:w="3400"/>
            <w:tcMar>
              <w:top w:type="dxa" w:w="60"/>
              <w:left w:type="dxa" w:w="100"/>
              <w:bottom w:type="dxa" w:w="60"/>
              <w:right w:type="dxa" w:w="100"/>
            </w:tcMar>
          </w:tcPr>
          <w:p>
            <w:pPr>
              <w:jc w:val="left"/>
            </w:pPr>
            <w:r>
              <w:rPr>
                <w:b w:val="false"/>
                <w:bCs w:val="false"/>
                <w:color w:val="000000"/>
                <w:sz w:val="20"/>
                <w:szCs w:val="20"/>
              </w:rPr>
              <w:t xml:space="preserve">content_knowledge_domains.knowledge_domain_id</w:t>
            </w:r>
          </w:p>
        </w:tc>
        <w:tc>
          <w:tcPr>
            <w:tcW w:type="dxa" w:w="1660"/>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400"/>
            <w:shd w:fill="EEF2F1" w:val="clear"/>
            <w:tcMar>
              <w:top w:type="dxa" w:w="60"/>
              <w:left w:type="dxa" w:w="100"/>
              <w:bottom w:type="dxa" w:w="60"/>
              <w:right w:type="dxa" w:w="100"/>
            </w:tcMar>
          </w:tcPr>
          <w:p>
            <w:pPr>
              <w:jc w:val="left"/>
            </w:pPr>
            <w:r>
              <w:rPr>
                <w:b w:val="false"/>
                <w:bCs w:val="false"/>
                <w:color w:val="000000"/>
                <w:sz w:val="20"/>
                <w:szCs w:val="20"/>
              </w:rPr>
              <w:t xml:space="preserve">Knowledge Sub-Domains</w:t>
            </w:r>
          </w:p>
        </w:tc>
        <w:tc>
          <w:tcPr>
            <w:tcW w:type="dxa" w:w="2100"/>
            <w:shd w:fill="EEF2F1" w:val="clear"/>
            <w:tcMar>
              <w:top w:type="dxa" w:w="60"/>
              <w:left w:type="dxa" w:w="100"/>
              <w:bottom w:type="dxa" w:w="60"/>
              <w:right w:type="dxa" w:w="100"/>
            </w:tcMar>
          </w:tcPr>
          <w:p>
            <w:pPr>
              <w:jc w:val="left"/>
            </w:pPr>
            <w:r>
              <w:rPr>
                <w:b w:val="false"/>
                <w:bCs w:val="false"/>
                <w:color w:val="000000"/>
                <w:sz w:val="20"/>
                <w:szCs w:val="20"/>
              </w:rPr>
              <w:t xml:space="preserve">knowledge_subdomains</w:t>
            </w:r>
          </w:p>
        </w:tc>
        <w:tc>
          <w:tcPr>
            <w:tcW w:type="dxa" w:w="3400"/>
            <w:shd w:fill="EEF2F1" w:val="clear"/>
            <w:tcMar>
              <w:top w:type="dxa" w:w="60"/>
              <w:left w:type="dxa" w:w="100"/>
              <w:bottom w:type="dxa" w:w="60"/>
              <w:right w:type="dxa" w:w="100"/>
            </w:tcMar>
          </w:tcPr>
          <w:p>
            <w:pPr>
              <w:jc w:val="left"/>
            </w:pPr>
            <w:r>
              <w:rPr>
                <w:b w:val="false"/>
                <w:bCs w:val="false"/>
                <w:color w:val="000000"/>
                <w:sz w:val="20"/>
                <w:szCs w:val="20"/>
              </w:rPr>
              <w:t xml:space="preserve">(none directly)</w:t>
            </w:r>
          </w:p>
        </w:tc>
        <w:tc>
          <w:tcPr>
            <w:tcW w:type="dxa" w:w="1660"/>
            <w:shd w:fill="EEF2F1" w:val="clear"/>
            <w:tcMar>
              <w:top w:type="dxa" w:w="60"/>
              <w:left w:type="dxa" w:w="100"/>
              <w:bottom w:type="dxa" w:w="60"/>
              <w:right w:type="dxa" w:w="100"/>
            </w:tcMar>
          </w:tcPr>
          <w:p>
            <w:pPr>
              <w:jc w:val="left"/>
            </w:pPr>
            <w:r>
              <w:rPr>
                <w:b w:val="false"/>
                <w:bCs w:val="false"/>
                <w:color w:val="000000"/>
                <w:sz w:val="20"/>
                <w:szCs w:val="20"/>
              </w:rPr>
              <w:t xml:space="preserve">Knowledge Domains</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Content Types</w:t>
            </w:r>
          </w:p>
        </w:tc>
        <w:tc>
          <w:tcPr>
            <w:tcW w:type="dxa" w:w="2100"/>
            <w:tcMar>
              <w:top w:type="dxa" w:w="60"/>
              <w:left w:type="dxa" w:w="100"/>
              <w:bottom w:type="dxa" w:w="60"/>
              <w:right w:type="dxa" w:w="100"/>
            </w:tcMar>
          </w:tcPr>
          <w:p>
            <w:pPr>
              <w:jc w:val="left"/>
            </w:pPr>
            <w:r>
              <w:rPr>
                <w:b w:val="false"/>
                <w:bCs w:val="false"/>
                <w:color w:val="000000"/>
                <w:sz w:val="20"/>
                <w:szCs w:val="20"/>
              </w:rPr>
              <w:t xml:space="preserve">content_types</w:t>
            </w:r>
          </w:p>
        </w:tc>
        <w:tc>
          <w:tcPr>
            <w:tcW w:type="dxa" w:w="3400"/>
            <w:tcMar>
              <w:top w:type="dxa" w:w="60"/>
              <w:left w:type="dxa" w:w="100"/>
              <w:bottom w:type="dxa" w:w="60"/>
              <w:right w:type="dxa" w:w="100"/>
            </w:tcMar>
          </w:tcPr>
          <w:p>
            <w:pPr>
              <w:jc w:val="left"/>
            </w:pPr>
            <w:r>
              <w:rPr>
                <w:b w:val="false"/>
                <w:bCs w:val="false"/>
                <w:color w:val="000000"/>
                <w:sz w:val="20"/>
                <w:szCs w:val="20"/>
              </w:rPr>
              <w:t xml:space="preserve">content.content_type_id</w:t>
            </w:r>
          </w:p>
        </w:tc>
        <w:tc>
          <w:tcPr>
            <w:tcW w:type="dxa" w:w="1660"/>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400"/>
            <w:shd w:fill="EEF2F1" w:val="clear"/>
            <w:tcMar>
              <w:top w:type="dxa" w:w="60"/>
              <w:left w:type="dxa" w:w="100"/>
              <w:bottom w:type="dxa" w:w="60"/>
              <w:right w:type="dxa" w:w="100"/>
            </w:tcMar>
          </w:tcPr>
          <w:p>
            <w:pPr>
              <w:jc w:val="left"/>
            </w:pPr>
            <w:r>
              <w:rPr>
                <w:b w:val="false"/>
                <w:bCs w:val="false"/>
                <w:color w:val="000000"/>
                <w:sz w:val="20"/>
                <w:szCs w:val="20"/>
              </w:rPr>
              <w:t xml:space="preserve">Content Sub-Types</w:t>
            </w:r>
          </w:p>
        </w:tc>
        <w:tc>
          <w:tcPr>
            <w:tcW w:type="dxa" w:w="2100"/>
            <w:shd w:fill="EEF2F1" w:val="clear"/>
            <w:tcMar>
              <w:top w:type="dxa" w:w="60"/>
              <w:left w:type="dxa" w:w="100"/>
              <w:bottom w:type="dxa" w:w="60"/>
              <w:right w:type="dxa" w:w="100"/>
            </w:tcMar>
          </w:tcPr>
          <w:p>
            <w:pPr>
              <w:jc w:val="left"/>
            </w:pPr>
            <w:r>
              <w:rPr>
                <w:b w:val="false"/>
                <w:bCs w:val="false"/>
                <w:color w:val="000000"/>
                <w:sz w:val="20"/>
                <w:szCs w:val="20"/>
              </w:rPr>
              <w:t xml:space="preserve">content_subtypes</w:t>
            </w:r>
          </w:p>
        </w:tc>
        <w:tc>
          <w:tcPr>
            <w:tcW w:type="dxa" w:w="3400"/>
            <w:shd w:fill="EEF2F1" w:val="clear"/>
            <w:tcMar>
              <w:top w:type="dxa" w:w="60"/>
              <w:left w:type="dxa" w:w="100"/>
              <w:bottom w:type="dxa" w:w="60"/>
              <w:right w:type="dxa" w:w="100"/>
            </w:tcMar>
          </w:tcPr>
          <w:p>
            <w:pPr>
              <w:jc w:val="left"/>
            </w:pPr>
            <w:r>
              <w:rPr>
                <w:b w:val="false"/>
                <w:bCs w:val="false"/>
                <w:color w:val="000000"/>
                <w:sz w:val="20"/>
                <w:szCs w:val="20"/>
              </w:rPr>
              <w:t xml:space="preserve">(none directly)</w:t>
            </w:r>
          </w:p>
        </w:tc>
        <w:tc>
          <w:tcPr>
            <w:tcW w:type="dxa" w:w="1660"/>
            <w:shd w:fill="EEF2F1" w:val="clear"/>
            <w:tcMar>
              <w:top w:type="dxa" w:w="60"/>
              <w:left w:type="dxa" w:w="100"/>
              <w:bottom w:type="dxa" w:w="60"/>
              <w:right w:type="dxa" w:w="100"/>
            </w:tcMar>
          </w:tcPr>
          <w:p>
            <w:pPr>
              <w:jc w:val="left"/>
            </w:pPr>
            <w:r>
              <w:rPr>
                <w:b w:val="false"/>
                <w:bCs w:val="false"/>
                <w:color w:val="000000"/>
                <w:sz w:val="20"/>
                <w:szCs w:val="20"/>
              </w:rPr>
              <w:t xml:space="preserve">Content Types</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Content Link Types</w:t>
            </w:r>
          </w:p>
        </w:tc>
        <w:tc>
          <w:tcPr>
            <w:tcW w:type="dxa" w:w="2100"/>
            <w:tcMar>
              <w:top w:type="dxa" w:w="60"/>
              <w:left w:type="dxa" w:w="100"/>
              <w:bottom w:type="dxa" w:w="60"/>
              <w:right w:type="dxa" w:w="100"/>
            </w:tcMar>
          </w:tcPr>
          <w:p>
            <w:pPr>
              <w:jc w:val="left"/>
            </w:pPr>
            <w:r>
              <w:rPr>
                <w:b w:val="false"/>
                <w:bCs w:val="false"/>
                <w:color w:val="000000"/>
                <w:sz w:val="20"/>
                <w:szCs w:val="20"/>
              </w:rPr>
              <w:t xml:space="preserve">content_link_types</w:t>
            </w:r>
          </w:p>
        </w:tc>
        <w:tc>
          <w:tcPr>
            <w:tcW w:type="dxa" w:w="3400"/>
            <w:tcMar>
              <w:top w:type="dxa" w:w="60"/>
              <w:left w:type="dxa" w:w="100"/>
              <w:bottom w:type="dxa" w:w="60"/>
              <w:right w:type="dxa" w:w="100"/>
            </w:tcMar>
          </w:tcPr>
          <w:p>
            <w:pPr>
              <w:jc w:val="left"/>
            </w:pPr>
            <w:r>
              <w:rPr>
                <w:b w:val="false"/>
                <w:bCs w:val="false"/>
                <w:color w:val="000000"/>
                <w:sz w:val="20"/>
                <w:szCs w:val="20"/>
              </w:rPr>
              <w:t xml:space="preserve">content_contact_links.link_type_id</w:t>
            </w:r>
          </w:p>
        </w:tc>
        <w:tc>
          <w:tcPr>
            <w:tcW w:type="dxa" w:w="1660"/>
            <w:tcMar>
              <w:top w:type="dxa" w:w="60"/>
              <w:left w:type="dxa" w:w="100"/>
              <w:bottom w:type="dxa" w:w="60"/>
              <w:right w:type="dxa" w:w="100"/>
            </w:tcMar>
          </w:tcPr>
          <w:p>
            <w:pPr>
              <w:jc w:val="left"/>
            </w:pPr>
            <w:r>
              <w:rPr>
                <w:b w:val="false"/>
                <w:bCs w:val="false"/>
                <w:color w:val="000000"/>
                <w:sz w:val="20"/>
                <w:szCs w:val="20"/>
              </w:rPr>
              <w:t xml:space="preserve">—</w:t>
            </w:r>
          </w:p>
        </w:tc>
      </w:tr>
    </w:tbl>
    <w:p>
      <w:r>
        <w:br w:type="page"/>
      </w:r>
    </w:p>
    <w:p>
      <w:pPr>
        <w:pStyle w:val="Heading1"/>
        <w:pBdr>
          <w:bottom w:val="single" w:color="1F3864" w:sz="6" w:space="4"/>
        </w:pBdr>
        <w:spacing w:after="160" w:before="360"/>
      </w:pPr>
      <w:r>
        <w:t xml:space="preserve">4. Contacts, Organizations, Phones &amp; Addresses</w:t>
      </w:r>
    </w:p>
    <w:p>
      <w:pPr>
        <w:pStyle w:val="Heading2"/>
        <w:spacing w:after="120" w:before="260"/>
      </w:pPr>
      <w:r>
        <w:t xml:space="preserve">4.1  Contacts</w:t>
      </w:r>
    </w:p>
    <w:p>
      <w:pPr>
        <w:spacing w:after="140" w:line="276"/>
      </w:pPr>
      <w:r>
        <w:t xml:space="preserve">A Contact (contacts table) is the central record of Module A. Alongside name, title, suffix, and gender, it carries several relationship fields worth calling out:</w:t>
      </w:r>
    </w:p>
    <w:p>
      <w:pPr>
        <w:pStyle w:val="ListParagraph"/>
        <w:numPr>
          <w:ilvl w:val="0"/>
          <w:numId w:val="2"/>
        </w:numPr>
        <w:spacing w:after="90" w:line="276"/>
      </w:pPr>
      <w:r>
        <w:rPr>
          <w:b/>
          <w:bCs/>
        </w:rPr>
        <w:t xml:space="preserve">Category &amp; Context — </w:t>
      </w:r>
      <w:r>
        <w:t xml:space="preserve">two independent lookup-table classifications shown side by side on the form (e.g. Category might say “Friend” while Context says “Sikh Tourism” or “Potential Investor”).</w:t>
      </w:r>
    </w:p>
    <w:p>
      <w:pPr>
        <w:pStyle w:val="ListParagraph"/>
        <w:numPr>
          <w:ilvl w:val="0"/>
          <w:numId w:val="2"/>
        </w:numPr>
        <w:spacing w:after="90" w:line="276"/>
      </w:pPr>
      <w:r>
        <w:rPr>
          <w:b/>
          <w:bCs/>
        </w:rPr>
        <w:t xml:space="preserve">Profession — </w:t>
      </w:r>
      <w:r>
        <w:t xml:space="preserve">a lookup-table field, separate from Category/Context.</w:t>
      </w:r>
    </w:p>
    <w:p>
      <w:pPr>
        <w:pStyle w:val="ListParagraph"/>
        <w:numPr>
          <w:ilvl w:val="0"/>
          <w:numId w:val="2"/>
        </w:numPr>
        <w:spacing w:after="90" w:line="276"/>
      </w:pPr>
      <w:r>
        <w:rPr>
          <w:b/>
          <w:bCs/>
        </w:rPr>
        <w:t xml:space="preserve">Current Organization &amp; Current Job Title — </w:t>
      </w:r>
      <w:r>
        <w:t xml:space="preserve">current_organization_id points at an Organizations record; every time either it or the job title changes, the previous value is snapshotted into contacts_history first (see §7).</w:t>
      </w:r>
    </w:p>
    <w:p>
      <w:pPr>
        <w:pStyle w:val="ListParagraph"/>
        <w:numPr>
          <w:ilvl w:val="0"/>
          <w:numId w:val="2"/>
        </w:numPr>
        <w:spacing w:after="90" w:line="276"/>
      </w:pPr>
      <w:r>
        <w:rPr>
          <w:b/>
          <w:bCs/>
        </w:rPr>
        <w:t xml:space="preserve">Assistant — </w:t>
      </w:r>
      <w:r>
        <w:t xml:space="preserve">assistant_contact_id is a self-referential foreign key: it points at another row in the same contacts table — i.e., a Contact's assistant is simply another Contact. The Contact form blocks a contact from being set as its own assistant. A quick-add short form (name / phone / email only) lets you create a brand-new assistant Contact inline without leaving the form you're on.</w:t>
      </w:r>
    </w:p>
    <w:p>
      <w:pPr>
        <w:pStyle w:val="ListParagraph"/>
        <w:numPr>
          <w:ilvl w:val="0"/>
          <w:numId w:val="2"/>
        </w:numPr>
        <w:spacing w:after="90" w:line="276"/>
      </w:pPr>
      <w:r>
        <w:rPr>
          <w:b/>
          <w:bCs/>
        </w:rPr>
        <w:t xml:space="preserve">Priority Contact — </w:t>
      </w:r>
      <w:r>
        <w:t xml:space="preserve">a simple flag, no lookup table involved.</w:t>
      </w:r>
    </w:p>
    <w:p>
      <w:pPr>
        <w:pStyle w:val="ListParagraph"/>
        <w:numPr>
          <w:ilvl w:val="0"/>
          <w:numId w:val="2"/>
        </w:numPr>
        <w:spacing w:after="90" w:line="276"/>
      </w:pPr>
      <w:r>
        <w:rPr>
          <w:b/>
          <w:bCs/>
        </w:rPr>
        <w:t xml:space="preserve">Date of Birth / Date of Death — </w:t>
      </w:r>
      <w:r>
        <w:t xml:space="preserve">date_of_death is only meaningful when is_deceased = 1; it is cleared when is_deceased is turned off.</w:t>
      </w:r>
    </w:p>
    <w:p>
      <w:pPr>
        <w:pStyle w:val="Heading2"/>
        <w:spacing w:after="120" w:before="260"/>
      </w:pPr>
      <w:r>
        <w:t xml:space="preserve">4.2  Organizations</w:t>
      </w:r>
    </w:p>
    <w:p>
      <w:pPr>
        <w:spacing w:after="140" w:line="276"/>
      </w:pPr>
      <w:r>
        <w:t xml:space="preserve">Organizations (organizations table) is a shared table, not exclusive to Contacts — Personal Accounts and Desktop Software Licenses each carry their own organization_id as well. Because of that shared use and its richer field set (full address, phone, email, website, type), it has its own dedicated management screen rather than living inside Table Maintenance (see §3.5 for its deletion rules).</w:t>
      </w:r>
    </w:p>
    <w:p>
      <w:pPr>
        <w:pStyle w:val="Heading2"/>
        <w:spacing w:after="120" w:before="260"/>
      </w:pPr>
      <w:r>
        <w:t xml:space="preserve">4.3  Addresses (shared / polymorphic)</w:t>
      </w:r>
    </w:p>
    <w:p>
      <w:pPr>
        <w:spacing w:after="140" w:line="276"/>
      </w:pPr>
      <w:r>
        <w:t xml:space="preserve">A single addresses table serves both Contacts and Personal Accounts, distinguished by an owner_type column (‘Contact’ or ‘PersonalAccount’) paired with owner_id — there is no separate contact_addresses or account_addresses table.</w:t>
      </w:r>
    </w:p>
    <w:p>
      <w:pPr>
        <w:spacing w:after="140" w:line="276"/>
      </w:pPr>
      <w:r>
        <w:rPr>
          <w:b/>
          <w:bCs/>
          <w:color w:val="1F3864"/>
        </w:rPr>
        <w:t xml:space="preserve">State/Province rule:  </w:t>
      </w:r>
      <w:r>
        <w:t xml:space="preserve">Each address row uses exactly one of two mutually-exclusive fields for state/province: state_id (a foreign key into the states lookup table, populated by the country-specific state list) when the address's “USA” checkbox is checked, or state_province_text (free text) for every other country, since most countries' provinces aren't in the states lookup. The form's client-side script toggles which one is shown and cleared.</w:t>
      </w:r>
    </w:p>
    <w:p>
      <w:pPr>
        <w:pStyle w:val="Heading2"/>
        <w:spacing w:after="120" w:before="260"/>
      </w:pPr>
      <w:r>
        <w:t xml:space="preserve">4.4  Contact Emails &amp; Phones</w:t>
      </w:r>
    </w:p>
    <w:p>
      <w:pPr>
        <w:spacing w:after="140" w:line="276"/>
      </w:pPr>
      <w:r>
        <w:t xml:space="preserve">A Contact can have any number of emails (contact_emails) and phones (contact_phones), each flagged is_primary to mark the one shown in list/summary views. A phone additionally carries the fixed phone_type (§3.6) and the four-part structure described in §2.1.</w:t>
      </w:r>
    </w:p>
    <w:p>
      <w:r>
        <w:br w:type="page"/>
      </w:r>
    </w:p>
    <w:p>
      <w:pPr>
        <w:pStyle w:val="Heading1"/>
        <w:pBdr>
          <w:bottom w:val="single" w:color="1F3864" w:sz="6" w:space="4"/>
        </w:pBdr>
        <w:spacing w:after="160" w:before="360"/>
      </w:pPr>
      <w:r>
        <w:t xml:space="preserve">5. How Contacts Link to Other Things</w:t>
      </w:r>
    </w:p>
    <w:p>
      <w:pPr>
        <w:spacing w:after="140" w:line="276"/>
      </w:pPr>
      <w:r>
        <w:t xml:space="preserve">PIMS has two distinct, deliberately separate linking mechanisms that point in opposite directions — it is easy to confuse them, so the rule is spelled out here.</w:t>
      </w:r>
    </w:p>
    <w:p>
      <w:pPr>
        <w:pStyle w:val="Heading2"/>
        <w:spacing w:after="120" w:before="260"/>
      </w:pPr>
      <w:r>
        <w:t xml:space="preserve">5.1  Reference Links (on a Contact, pointing outward)</w:t>
      </w:r>
    </w:p>
    <w:p>
      <w:pPr>
        <w:spacing w:after="140" w:line="276"/>
      </w:pPr>
      <w:r>
        <w:t xml:space="preserve">contact_reference_links lets a Contact reference an external url and/or a local document_path, with a description and freeform notes (web URLs inside notes are auto-linked on display via the linkify filter). This is the “things this Contact is associated with” list, managed from the Contact's own page.</w:t>
      </w:r>
    </w:p>
    <w:p>
      <w:pPr>
        <w:pStyle w:val="Heading2"/>
        <w:spacing w:after="120" w:before="260"/>
      </w:pPr>
      <w:r>
        <w:t xml:space="preserve">5.2  Contacts Link (on a piece of Content, pointing at a Contact)</w:t>
      </w:r>
    </w:p>
    <w:p>
      <w:pPr>
        <w:spacing w:after="140" w:line="276"/>
      </w:pPr>
      <w:r>
        <w:t xml:space="preserve">content_contact_links is the reverse direction: it lets a Content item (Module D) reference an existing Contact, a plain URL, or both, optionally tagged with a Link Type (e.g. “Author,” “Reviewed by” — itself a lookup table, Content Link Types). At least one of contact_id or url must be set (enforced by a database CHECK constraint) — a Contacts Link row can never point at nothing.</w:t>
      </w:r>
    </w:p>
    <w:p>
      <w:pPr>
        <w:pBdr>
          <w:left w:val="single" w:color="2E6E62" w:sz="12" w:space="8"/>
        </w:pBdr>
        <w:spacing w:after="200" w:before="60" w:line="276"/>
        <w:ind w:left="260"/>
      </w:pPr>
      <w:r>
        <w:rPr>
          <w:b/>
          <w:bCs/>
          <w:i/>
          <w:iCs/>
          <w:color w:val="2E6E62"/>
        </w:rPr>
        <w:t xml:space="preserve">Note: </w:t>
      </w:r>
      <w:r>
        <w:rPr>
          <w:i/>
          <w:iCs/>
          <w:color w:val="595959"/>
        </w:rPr>
        <w:t xml:space="preserve">Rule of thumb: Reference Links live under a Contact and point away from it. Contacts Link rows live under a piece of Content and point toward a Contact (and/or a URL). They are separate tables serving separate directions, not two views onto the same data.</w:t>
      </w:r>
    </w:p>
    <w:p>
      <w:pPr>
        <w:pStyle w:val="Heading2"/>
        <w:spacing w:after="120" w:before="260"/>
      </w:pPr>
      <w:r>
        <w:t xml:space="preserve">5.3  The Assistant relationship is a third, special case</w:t>
      </w:r>
    </w:p>
    <w:p>
      <w:pPr>
        <w:spacing w:after="140" w:line="276"/>
      </w:pPr>
      <w:r>
        <w:t xml:space="preserve">Unlike the two link tables above, the Assistant relationship (§4.1) is a plain foreign key within the contacts table itself (assistant_contact_id → contacts.contact_id) — it is not a separate link table, because a Contact can have at most one Assistant.</w:t>
      </w:r>
    </w:p>
    <w:p>
      <w:r>
        <w:br w:type="page"/>
      </w:r>
    </w:p>
    <w:p>
      <w:pPr>
        <w:pStyle w:val="Heading1"/>
        <w:pBdr>
          <w:bottom w:val="single" w:color="1F3864" w:sz="6" w:space="4"/>
        </w:pBdr>
        <w:spacing w:after="160" w:before="360"/>
      </w:pPr>
      <w:r>
        <w:t xml:space="preserve">6. Content &amp; Personal Knowledge Base (Module D)</w:t>
      </w:r>
    </w:p>
    <w:p>
      <w:pPr>
        <w:pStyle w:val="Heading2"/>
        <w:spacing w:after="120" w:before="260"/>
      </w:pPr>
      <w:r>
        <w:t xml:space="preserve">6.1  Core record</w:t>
      </w:r>
    </w:p>
    <w:p>
      <w:pPr>
        <w:spacing w:after="140" w:line="276"/>
      </w:pPr>
      <w:r>
        <w:t xml:space="preserve">A content item (content table) holds a name, a Content Type (lookup table, optionally narrowed by a nested Content Sub-Type), free-text authors, a description, and notes (auto-linked URLs on display, same as Contact notes).</w:t>
      </w:r>
    </w:p>
    <w:p>
      <w:pPr>
        <w:pStyle w:val="Heading2"/>
        <w:spacing w:after="120" w:before="260"/>
      </w:pPr>
      <w:r>
        <w:t xml:space="preserve">6.2  Where the content actually lives</w:t>
      </w:r>
    </w:p>
    <w:p>
      <w:pPr>
        <w:spacing w:after="140" w:line="276"/>
      </w:pPr>
      <w:r>
        <w:rPr>
          <w:b/>
          <w:bCs/>
          <w:color w:val="1F3864"/>
        </w:rPr>
        <w:t xml:space="preserve">Locations:  </w:t>
      </w:r>
      <w:r>
        <w:t xml:space="preserve">content_locations holds one or more path_or_url rows per content item, each flagged as either ‘Cloud Link’ or ‘Local Drive Path’ (a database CHECK constraint enforces only those two values).</w:t>
      </w:r>
    </w:p>
    <w:p>
      <w:pPr>
        <w:pStyle w:val="Heading2"/>
        <w:spacing w:after="120" w:before="260"/>
      </w:pPr>
      <w:r>
        <w:t xml:space="preserve">6.3  Tagging</w:t>
      </w:r>
    </w:p>
    <w:p>
      <w:pPr>
        <w:pStyle w:val="ListParagraph"/>
        <w:numPr>
          <w:ilvl w:val="0"/>
          <w:numId w:val="2"/>
        </w:numPr>
        <w:spacing w:after="90" w:line="276"/>
      </w:pPr>
      <w:r>
        <w:rPr>
          <w:b/>
          <w:bCs/>
        </w:rPr>
        <w:t xml:space="preserve">Knowledge Domains — </w:t>
      </w:r>
      <w:r>
        <w:t xml:space="preserve">a many-to-many link (content_knowledge_domains) to the Knowledge Domains lookup table — a content item can carry several domains at once.</w:t>
      </w:r>
    </w:p>
    <w:p>
      <w:pPr>
        <w:pStyle w:val="ListParagraph"/>
        <w:numPr>
          <w:ilvl w:val="0"/>
          <w:numId w:val="2"/>
        </w:numPr>
        <w:spacing w:after="90" w:line="276"/>
      </w:pPr>
      <w:r>
        <w:rPr>
          <w:b/>
          <w:bCs/>
        </w:rPr>
        <w:t xml:space="preserve">Keywords &amp; Hashtags — </w:t>
      </w:r>
      <w:r>
        <w:t xml:space="preserve">content_keywords and content_hashtags are comma-split freeform tag tables (not lookup tables — any text is accepted). Their primary key is the pair (content_id, term), and on every edit the full set for that content item is deleted and re-inserted from whatever comma-separated text was submitted — there is no incremental add/remove; editing the tag field always replaces the whole list.</w:t>
      </w:r>
    </w:p>
    <w:p>
      <w:pPr>
        <w:pStyle w:val="Heading2"/>
        <w:spacing w:after="120" w:before="260"/>
      </w:pPr>
      <w:r>
        <w:t xml:space="preserve">6.4  Linking a Contact to Content</w:t>
      </w:r>
    </w:p>
    <w:p>
      <w:pPr>
        <w:spacing w:after="140" w:line="276"/>
      </w:pPr>
      <w:r>
        <w:t xml:space="preserve">See §5.2 — Contacts Link is how a piece of Content references a Contact and/or a URL.</w:t>
      </w:r>
    </w:p>
    <w:p>
      <w:r>
        <w:br w:type="page"/>
      </w:r>
    </w:p>
    <w:p>
      <w:pPr>
        <w:pStyle w:val="Heading1"/>
        <w:pBdr>
          <w:bottom w:val="single" w:color="1F3864" w:sz="6" w:space="4"/>
        </w:pBdr>
        <w:spacing w:after="160" w:before="360"/>
      </w:pPr>
      <w:r>
        <w:t xml:space="preserve">7. History Tracking &amp; Soft-Delete / Archive</w:t>
      </w:r>
    </w:p>
    <w:p>
      <w:pPr>
        <w:pStyle w:val="Heading2"/>
        <w:spacing w:after="120" w:before="260"/>
      </w:pPr>
      <w:r>
        <w:t xml:space="preserve">7.1  History tracking (change log, not deletion)</w:t>
      </w:r>
    </w:p>
    <w:p>
      <w:pPr>
        <w:spacing w:after="140" w:line="276"/>
      </w:pPr>
      <w:r>
        <w:t xml:space="preserve">Several “current” tables have a matching _history sibling that exists purely to log a field's previous value the moment it changes — the current table always holds only the live value; the history table accumulates snapshots over time, written in the same transaction as the update, before the overwrite. Tables with a history sibling: contacts_history (organization / job-title changes), contact_emails_history, contact_phones_history, addresses_history, cloud_platform_phones_history, cloud_platform_emails_history, cloud_service_subscriptions_history, desktop_software_licenses_history, desktop_software_license_phones_history, desktop_software_license_emails_history, and personal_accounts_history.</w:t>
      </w:r>
    </w:p>
    <w:p>
      <w:pPr>
        <w:pBdr>
          <w:left w:val="single" w:color="2E6E62" w:sz="12" w:space="8"/>
        </w:pBdr>
        <w:spacing w:after="200" w:before="60" w:line="276"/>
        <w:ind w:left="260"/>
      </w:pPr>
      <w:r>
        <w:rPr>
          <w:b/>
          <w:bCs/>
          <w:i/>
          <w:iCs/>
          <w:color w:val="2E6E62"/>
        </w:rPr>
        <w:t xml:space="preserve">Note: </w:t>
      </w:r>
      <w:r>
        <w:rPr>
          <w:i/>
          <w:iCs/>
          <w:color w:val="595959"/>
        </w:rPr>
        <w:t xml:space="preserve">History rows for an encrypted field (e.g. a subscription password, or a personal account's number/CVV/PIN/password) store the previous value encrypted too — history never becomes a back door around field-level encryption.</w:t>
      </w:r>
    </w:p>
    <w:p>
      <w:pPr>
        <w:pStyle w:val="Heading2"/>
        <w:spacing w:after="120" w:before="260"/>
      </w:pPr>
      <w:r>
        <w:t xml:space="preserve">7.2  Soft-delete &amp; archive — Contacts only</w:t>
      </w:r>
    </w:p>
    <w:p>
      <w:pPr>
        <w:spacing w:after="140" w:line="276"/>
      </w:pPr>
      <w:r>
        <w:t xml:space="preserve">Deleting a Contact never immediately removes the row. delete_contact() sets contacts.is_deleted = 1 and writes one full JSON snapshot — the contact plus its emails, phones, addresses, and reference links — into contacts_archive. The snapshot's purge_eligible_at is computed from the Contact's original created_at date plus the retention window configured on the System Management → Retention &amp; purge card; if no retention window is set, purge_eligible_at is left NULL, meaning indefinite retention (kept forever, never auto-purged).</w:t>
      </w:r>
    </w:p>
    <w:p>
      <w:pPr>
        <w:pStyle w:val="Heading2"/>
        <w:spacing w:after="120" w:before="260"/>
      </w:pPr>
      <w:r>
        <w:t xml:space="preserve">7.3  Purge — permanent erasure once the retention window elapses</w:t>
      </w:r>
    </w:p>
    <w:p>
      <w:pPr>
        <w:spacing w:after="140" w:line="276"/>
      </w:pPr>
      <w:r>
        <w:rPr>
          <w:b/>
          <w:bCs/>
          <w:color w:val="1F3864"/>
        </w:rPr>
        <w:t xml:space="preserve">The retention window is in days:  </w:t>
      </w:r>
      <w:r>
        <w:t xml:space="preserve">System Management → Retention &amp; purge takes a whole number of days, not months. A blank field means indefinite retention — nothing is ever purged. A number, e.g. 300, means a deleted Contact becomes purge-eligible, and is then actually erased, 300 days after its original date of entry (created_at) — not 300 days after it was deleted.</w:t>
      </w:r>
    </w:p>
    <w:p>
      <w:pPr>
        <w:spacing w:after="140" w:line="276"/>
      </w:pPr>
      <w:r>
        <w:rPr>
          <w:b/>
          <w:bCs/>
          <w:color w:val="1F3864"/>
        </w:rPr>
        <w:t xml:space="preserve">What purge actually erases:  </w:t>
      </w:r>
      <w:r>
        <w:t xml:space="preserve">This is real, irreversible deletion, not a second soft-delete. Once a Contact's purge_eligible_at has passed, _purge_eligible() removes: the contacts_archive snapshot itself; every remaining live child row (contact_emails, contact_phones, addresses, contact_reference_links); every history row that logged a change to one of those (contact_emails_history, contact_phones_history, addresses_history, contacts_history) — deleted first, since they carry their own foreign keys down into the child rows; and finally the contacts row itself. Nothing about this Contact survives anywhere in the database afterward.</w:t>
      </w:r>
    </w:p>
    <w:p>
      <w:pPr>
        <w:spacing w:after="140" w:line="276"/>
      </w:pPr>
      <w:r>
        <w:rPr>
          <w:b/>
          <w:bCs/>
          <w:color w:val="1F3864"/>
        </w:rPr>
        <w:t xml:space="preserve">Dangling references are detached first:  </w:t>
      </w:r>
      <w:r>
        <w:t xml:space="preserve">Anything outside the Contact's own rows that still points at it is cleaned up before the delete, so it never trips PRAGMA foreign_keys = ON: if another Contact had named the one being purged as its Assistant, that reference is cleared (assistant_contact_id set to NULL); if a Content item's Contacts Link (§5.2) pointed at the purged Contact, the link row keeps its URL with the contact reference cleared when it has one, or is removed outright when it doesn't — a Contacts Link can never point at nothing.</w:t>
      </w:r>
    </w:p>
    <w:p>
      <w:pPr>
        <w:spacing w:after="140" w:line="276"/>
      </w:pPr>
      <w:r>
        <w:rPr>
          <w:b/>
          <w:bCs/>
          <w:color w:val="1F3864"/>
        </w:rPr>
        <w:t xml:space="preserve">When it runs:  </w:t>
      </w:r>
      <w:r>
        <w:t xml:space="preserve">Two ways. Automatically, once per calendar day, checked at the moment of login — PIMS has no background scheduler of its own (it only runs while the app is open), so login is the one point every session is guaranteed to pass through. system_config.last_purge_at records the last time the check ran (whether or not it found anything to purge), so it only fires once a day rather than on every login. It also runs on demand: the “Run purge now” button on System Management shows exactly how many records are currently eligible and requires an explicit confirmation — spelling out that the action is permanent — before erasing anything.</w:t>
      </w:r>
    </w:p>
    <w:p>
      <w:pPr>
        <w:spacing w:after="140" w:line="276"/>
      </w:pPr>
      <w:r>
        <w:rPr>
          <w:b/>
          <w:bCs/>
          <w:color w:val="1F3864"/>
        </w:rPr>
        <w:t xml:space="preserve">Audit trail:  </w:t>
      </w:r>
      <w:r>
        <w:t xml:space="preserve">Every purged Contact gets its own audit_log row (action “Purge”, naming the Contact) at the moment it's erased — since the record itself won't exist afterward to look up, this is the only place that later confirms what was removed and when.</w:t>
      </w:r>
    </w:p>
    <w:p>
      <w:pPr>
        <w:pStyle w:val="Heading2"/>
        <w:spacing w:after="120" w:before="260"/>
      </w:pPr>
      <w:r>
        <w:t xml:space="preserve">7.4  Organizations, and everything else, have no archive — deletion is simply blocked</w:t>
      </w:r>
    </w:p>
    <w:p>
      <w:pPr>
        <w:spacing w:after="140" w:line="276"/>
      </w:pPr>
      <w:r>
        <w:t xml:space="preserve">Only Contacts have an archive table. Organizations, and every Table Maintenance lookup table, instead follow the deactivate/delete/reassign pattern in §3: deletion is refused outright (by the database's own foreign-key enforcement) while anything still references the row, full stop — there is no soft-delete or snapshot step for these, because they are treated as shared reference data rather than a record with its own history.</w:t>
      </w:r>
    </w:p>
    <w:p>
      <w:r>
        <w:br w:type="page"/>
      </w:r>
    </w:p>
    <w:p>
      <w:pPr>
        <w:pStyle w:val="Heading1"/>
        <w:pBdr>
          <w:bottom w:val="single" w:color="1F3864" w:sz="6" w:space="4"/>
        </w:pBdr>
        <w:spacing w:after="160" w:before="360"/>
      </w:pPr>
      <w:r>
        <w:t xml:space="preserve">8. Security — Encryption &amp; Session Rules</w:t>
      </w:r>
    </w:p>
    <w:p>
      <w:pPr>
        <w:pStyle w:val="Heading2"/>
        <w:spacing w:after="120" w:before="260"/>
      </w:pPr>
      <w:r>
        <w:t xml:space="preserve">8.1  Envelope encryption</w:t>
      </w:r>
    </w:p>
    <w:p>
      <w:pPr>
        <w:spacing w:after="140" w:line="276"/>
      </w:pPr>
      <w:r>
        <w:t xml:space="preserve">PIMS uses field-level encryption (Fernet), not whole-database encryption. A single random Data Encryption Key (DEK) is generated once, at setup, and is the actual key that encrypts and decrypts every sensitive column across the schema. The DEK itself is never stored in the clear — it is wrapped (encrypted) twice, independently:</w:t>
      </w:r>
    </w:p>
    <w:p>
      <w:pPr>
        <w:pStyle w:val="ListParagraph"/>
        <w:numPr>
          <w:ilvl w:val="0"/>
          <w:numId w:val="2"/>
        </w:numPr>
        <w:spacing w:after="90" w:line="276"/>
      </w:pPr>
      <w:r>
        <w:t xml:space="preserve">once under a key derived from the master password (via scrypt), and</w:t>
      </w:r>
    </w:p>
    <w:p>
      <w:pPr>
        <w:pStyle w:val="ListParagraph"/>
        <w:numPr>
          <w:ilvl w:val="0"/>
          <w:numId w:val="2"/>
        </w:numPr>
        <w:spacing w:after="90" w:line="276"/>
      </w:pPr>
      <w:r>
        <w:t xml:space="preserve">once under a key derived from the recovery seed phrase (via scrypt).</w:t>
      </w:r>
    </w:p>
    <w:p>
      <w:pPr>
        <w:spacing w:after="140" w:line="276"/>
      </w:pPr>
      <w:r>
        <w:t xml:space="preserve">Both wrapped copies live in system_config. Logging in with either secret unwraps the same underlying DEK — a password reset via the seed phrase re-keys access, not the data, so nothing needs to be re-encrypted after a reset. A successful unwrap (no InvalidToken error) is itself the authentication check; there is no separate password hash kept in sync.</w:t>
      </w:r>
    </w:p>
    <w:p>
      <w:pPr>
        <w:spacing w:after="140" w:line="276"/>
      </w:pPr>
      <w:r>
        <w:rPr>
          <w:b/>
          <w:bCs/>
          <w:color w:val="1F3864"/>
        </w:rPr>
        <w:t xml:space="preserve">Where the unwrapped DEK lives:  </w:t>
      </w:r>
      <w:r>
        <w:t xml:space="preserve">In server-side, in-memory storage only (security/session_keys.py), keyed by an opaque token in the signed session cookie — never in the database, a config file, or the browser. It expires after SESSION_TIMEOUT_MINUTES of inactivity (currently 30 minutes), on a sliding basis — every successful read refreshes the expiry.</w:t>
      </w:r>
    </w:p>
    <w:p>
      <w:pPr>
        <w:pStyle w:val="Heading2"/>
        <w:spacing w:after="120" w:before="260"/>
      </w:pPr>
      <w:r>
        <w:t xml:space="preserve">8.2  Which columns are encrypted</w:t>
      </w:r>
    </w:p>
    <w:p>
      <w:pPr>
        <w:spacing w:after="140" w:line="276"/>
      </w:pPr>
      <w:r>
        <w:t xml:space="preserve">Every column below is stored as a Fernet ciphertext BLOB, decrypted only in the application layer, never in SQL: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rPr>
          <w:tblHeader/>
        </w:trPr>
        <w:tc>
          <w:tcPr>
            <w:tcW w:type="dxa" w:w="3600"/>
            <w:shd w:fill="1F3864" w:val="clear"/>
            <w:tcMar>
              <w:top w:type="dxa" w:w="60"/>
              <w:left w:type="dxa" w:w="100"/>
              <w:bottom w:type="dxa" w:w="60"/>
              <w:right w:type="dxa" w:w="100"/>
            </w:tcMar>
          </w:tcPr>
          <w:p>
            <w:pPr>
              <w:jc w:val="left"/>
            </w:pPr>
            <w:r>
              <w:rPr>
                <w:b/>
                <w:bCs/>
                <w:color w:val="FFFFFF"/>
                <w:sz w:val="20"/>
                <w:szCs w:val="20"/>
              </w:rPr>
              <w:t xml:space="preserve">Table</w:t>
            </w:r>
          </w:p>
        </w:tc>
        <w:tc>
          <w:tcPr>
            <w:tcW w:type="dxa" w:w="5960"/>
            <w:shd w:fill="1F3864" w:val="clear"/>
            <w:tcMar>
              <w:top w:type="dxa" w:w="60"/>
              <w:left w:type="dxa" w:w="100"/>
              <w:bottom w:type="dxa" w:w="60"/>
              <w:right w:type="dxa" w:w="100"/>
            </w:tcMar>
          </w:tcPr>
          <w:p>
            <w:pPr>
              <w:jc w:val="left"/>
            </w:pPr>
            <w:r>
              <w:rPr>
                <w:b/>
                <w:bCs/>
                <w:color w:val="FFFFFF"/>
                <w:sz w:val="20"/>
                <w:szCs w:val="20"/>
              </w:rPr>
              <w:t xml:space="preserve">Encrypted column(s)</w:t>
            </w:r>
          </w:p>
        </w:tc>
      </w:tr>
      <w:tr>
        <w:tc>
          <w:tcPr>
            <w:tcW w:type="dxa" w:w="3600"/>
            <w:tcMar>
              <w:top w:type="dxa" w:w="60"/>
              <w:left w:type="dxa" w:w="100"/>
              <w:bottom w:type="dxa" w:w="60"/>
              <w:right w:type="dxa" w:w="100"/>
            </w:tcMar>
          </w:tcPr>
          <w:p>
            <w:pPr>
              <w:jc w:val="left"/>
            </w:pPr>
            <w:r>
              <w:rPr>
                <w:b w:val="false"/>
                <w:bCs w:val="false"/>
                <w:color w:val="000000"/>
                <w:sz w:val="20"/>
                <w:szCs w:val="20"/>
              </w:rPr>
              <w:t xml:space="preserve">cloud_service_subscriptions</w:t>
            </w:r>
          </w:p>
        </w:tc>
        <w:tc>
          <w:tcPr>
            <w:tcW w:type="dxa" w:w="5960"/>
            <w:tcMar>
              <w:top w:type="dxa" w:w="60"/>
              <w:left w:type="dxa" w:w="100"/>
              <w:bottom w:type="dxa" w:w="60"/>
              <w:right w:type="dxa" w:w="100"/>
            </w:tcMar>
          </w:tcPr>
          <w:p>
            <w:pPr>
              <w:jc w:val="left"/>
            </w:pPr>
            <w:r>
              <w:rPr>
                <w:b w:val="false"/>
                <w:bCs w:val="false"/>
                <w:color w:val="000000"/>
                <w:sz w:val="20"/>
                <w:szCs w:val="20"/>
              </w:rPr>
              <w:t xml:space="preserve">password</w:t>
            </w:r>
          </w:p>
        </w:tc>
      </w:tr>
      <w:tr>
        <w:tc>
          <w:tcPr>
            <w:tcW w:type="dxa" w:w="3600"/>
            <w:shd w:fill="EEF2F1" w:val="clear"/>
            <w:tcMar>
              <w:top w:type="dxa" w:w="60"/>
              <w:left w:type="dxa" w:w="100"/>
              <w:bottom w:type="dxa" w:w="60"/>
              <w:right w:type="dxa" w:w="100"/>
            </w:tcMar>
          </w:tcPr>
          <w:p>
            <w:pPr>
              <w:jc w:val="left"/>
            </w:pPr>
            <w:r>
              <w:rPr>
                <w:b w:val="false"/>
                <w:bCs w:val="false"/>
                <w:color w:val="000000"/>
                <w:sz w:val="20"/>
                <w:szCs w:val="20"/>
              </w:rPr>
              <w:t xml:space="preserve">personal_accounts</w:t>
            </w:r>
          </w:p>
        </w:tc>
        <w:tc>
          <w:tcPr>
            <w:tcW w:type="dxa" w:w="5960"/>
            <w:shd w:fill="EEF2F1" w:val="clear"/>
            <w:tcMar>
              <w:top w:type="dxa" w:w="60"/>
              <w:left w:type="dxa" w:w="100"/>
              <w:bottom w:type="dxa" w:w="60"/>
              <w:right w:type="dxa" w:w="100"/>
            </w:tcMar>
          </w:tcPr>
          <w:p>
            <w:pPr>
              <w:jc w:val="left"/>
            </w:pPr>
            <w:r>
              <w:rPr>
                <w:b w:val="false"/>
                <w:bCs w:val="false"/>
                <w:color w:val="000000"/>
                <w:sz w:val="20"/>
                <w:szCs w:val="20"/>
              </w:rPr>
              <w:t xml:space="preserve">account_number, cvv, pin, password</w:t>
            </w:r>
          </w:p>
        </w:tc>
      </w:tr>
      <w:tr>
        <w:tc>
          <w:tcPr>
            <w:tcW w:type="dxa" w:w="3600"/>
            <w:tcMar>
              <w:top w:type="dxa" w:w="60"/>
              <w:left w:type="dxa" w:w="100"/>
              <w:bottom w:type="dxa" w:w="60"/>
              <w:right w:type="dxa" w:w="100"/>
            </w:tcMar>
          </w:tcPr>
          <w:p>
            <w:pPr>
              <w:jc w:val="left"/>
            </w:pPr>
            <w:r>
              <w:rPr>
                <w:b w:val="false"/>
                <w:bCs w:val="false"/>
                <w:color w:val="000000"/>
                <w:sz w:val="20"/>
                <w:szCs w:val="20"/>
              </w:rPr>
              <w:t xml:space="preserve">desktop_software_licenses</w:t>
            </w:r>
          </w:p>
        </w:tc>
        <w:tc>
          <w:tcPr>
            <w:tcW w:type="dxa" w:w="5960"/>
            <w:tcMar>
              <w:top w:type="dxa" w:w="60"/>
              <w:left w:type="dxa" w:w="100"/>
              <w:bottom w:type="dxa" w:w="60"/>
              <w:right w:type="dxa" w:w="100"/>
            </w:tcMar>
          </w:tcPr>
          <w:p>
            <w:pPr>
              <w:jc w:val="left"/>
            </w:pPr>
            <w:r>
              <w:rPr>
                <w:b w:val="false"/>
                <w:bCs w:val="false"/>
                <w:color w:val="000000"/>
                <w:sz w:val="20"/>
                <w:szCs w:val="20"/>
              </w:rPr>
              <w:t xml:space="preserve">serial_number</w:t>
            </w:r>
          </w:p>
        </w:tc>
      </w:tr>
      <w:tr>
        <w:tc>
          <w:tcPr>
            <w:tcW w:type="dxa" w:w="3600"/>
            <w:shd w:fill="EEF2F1" w:val="clear"/>
            <w:tcMar>
              <w:top w:type="dxa" w:w="60"/>
              <w:left w:type="dxa" w:w="100"/>
              <w:bottom w:type="dxa" w:w="60"/>
              <w:right w:type="dxa" w:w="100"/>
            </w:tcMar>
          </w:tcPr>
          <w:p>
            <w:pPr>
              <w:jc w:val="left"/>
            </w:pPr>
            <w:r>
              <w:rPr>
                <w:b w:val="false"/>
                <w:bCs w:val="false"/>
                <w:color w:val="000000"/>
                <w:sz w:val="20"/>
                <w:szCs w:val="20"/>
              </w:rPr>
              <w:t xml:space="preserve">cloud_service_subscriptions_history</w:t>
            </w:r>
          </w:p>
        </w:tc>
        <w:tc>
          <w:tcPr>
            <w:tcW w:type="dxa" w:w="5960"/>
            <w:shd w:fill="EEF2F1" w:val="clear"/>
            <w:tcMar>
              <w:top w:type="dxa" w:w="60"/>
              <w:left w:type="dxa" w:w="100"/>
              <w:bottom w:type="dxa" w:w="60"/>
              <w:right w:type="dxa" w:w="100"/>
            </w:tcMar>
          </w:tcPr>
          <w:p>
            <w:pPr>
              <w:jc w:val="left"/>
            </w:pPr>
            <w:r>
              <w:rPr>
                <w:b w:val="false"/>
                <w:bCs w:val="false"/>
                <w:color w:val="000000"/>
                <w:sz w:val="20"/>
                <w:szCs w:val="20"/>
              </w:rPr>
              <w:t xml:space="preserve">previous_value (for the password field)</w:t>
            </w:r>
          </w:p>
        </w:tc>
      </w:tr>
      <w:tr>
        <w:tc>
          <w:tcPr>
            <w:tcW w:type="dxa" w:w="3600"/>
            <w:tcMar>
              <w:top w:type="dxa" w:w="60"/>
              <w:left w:type="dxa" w:w="100"/>
              <w:bottom w:type="dxa" w:w="60"/>
              <w:right w:type="dxa" w:w="100"/>
            </w:tcMar>
          </w:tcPr>
          <w:p>
            <w:pPr>
              <w:jc w:val="left"/>
            </w:pPr>
            <w:r>
              <w:rPr>
                <w:b w:val="false"/>
                <w:bCs w:val="false"/>
                <w:color w:val="000000"/>
                <w:sz w:val="20"/>
                <w:szCs w:val="20"/>
              </w:rPr>
              <w:t xml:space="preserve">desktop_software_licenses_history</w:t>
            </w:r>
          </w:p>
        </w:tc>
        <w:tc>
          <w:tcPr>
            <w:tcW w:type="dxa" w:w="5960"/>
            <w:tcMar>
              <w:top w:type="dxa" w:w="60"/>
              <w:left w:type="dxa" w:w="100"/>
              <w:bottom w:type="dxa" w:w="60"/>
              <w:right w:type="dxa" w:w="100"/>
            </w:tcMar>
          </w:tcPr>
          <w:p>
            <w:pPr>
              <w:jc w:val="left"/>
            </w:pPr>
            <w:r>
              <w:rPr>
                <w:b w:val="false"/>
                <w:bCs w:val="false"/>
                <w:color w:val="000000"/>
                <w:sz w:val="20"/>
                <w:szCs w:val="20"/>
              </w:rPr>
              <w:t xml:space="preserve">previous_value (for the serial_number field)</w:t>
            </w:r>
          </w:p>
        </w:tc>
      </w:tr>
      <w:tr>
        <w:tc>
          <w:tcPr>
            <w:tcW w:type="dxa" w:w="3600"/>
            <w:shd w:fill="EEF2F1" w:val="clear"/>
            <w:tcMar>
              <w:top w:type="dxa" w:w="60"/>
              <w:left w:type="dxa" w:w="100"/>
              <w:bottom w:type="dxa" w:w="60"/>
              <w:right w:type="dxa" w:w="100"/>
            </w:tcMar>
          </w:tcPr>
          <w:p>
            <w:pPr>
              <w:jc w:val="left"/>
            </w:pPr>
            <w:r>
              <w:rPr>
                <w:b w:val="false"/>
                <w:bCs w:val="false"/>
                <w:color w:val="000000"/>
                <w:sz w:val="20"/>
                <w:szCs w:val="20"/>
              </w:rPr>
              <w:t xml:space="preserve">personal_accounts_history</w:t>
            </w:r>
          </w:p>
        </w:tc>
        <w:tc>
          <w:tcPr>
            <w:tcW w:type="dxa" w:w="5960"/>
            <w:shd w:fill="EEF2F1" w:val="clear"/>
            <w:tcMar>
              <w:top w:type="dxa" w:w="60"/>
              <w:left w:type="dxa" w:w="100"/>
              <w:bottom w:type="dxa" w:w="60"/>
              <w:right w:type="dxa" w:w="100"/>
            </w:tcMar>
          </w:tcPr>
          <w:p>
            <w:pPr>
              <w:jc w:val="left"/>
            </w:pPr>
            <w:r>
              <w:rPr>
                <w:b w:val="false"/>
                <w:bCs w:val="false"/>
                <w:color w:val="000000"/>
                <w:sz w:val="20"/>
                <w:szCs w:val="20"/>
              </w:rPr>
              <w:t xml:space="preserve">previous_value (for account_number / password fields)</w:t>
            </w:r>
          </w:p>
        </w:tc>
      </w:tr>
    </w:tbl>
    <w:p>
      <w:pPr>
        <w:pStyle w:val="Heading2"/>
        <w:spacing w:after="120" w:before="260"/>
      </w:pPr>
      <w:r>
        <w:t xml:space="preserve">8.3  Session timeout</w:t>
      </w:r>
    </w:p>
    <w:p>
      <w:pPr>
        <w:spacing w:after="140" w:line="276"/>
      </w:pPr>
      <w:r>
        <w:t xml:space="preserve">SESSION_TIMEOUT_MINUTES (config.py, currently 30) governs how long an unwrapped DEK stays usable in memory. After that period of inactivity, the next request finds no live DEK and the user must log in again with the password or seed phrase to re-derive it — the encrypted data itself is never at risk in the meantime, since only the wrapped copies persist to disk.</w:t>
      </w:r>
    </w:p>
    <w:p>
      <w:r>
        <w:br w:type="page"/>
      </w:r>
    </w:p>
    <w:p>
      <w:pPr>
        <w:pStyle w:val="Heading1"/>
        <w:pBdr>
          <w:bottom w:val="single" w:color="1F3864" w:sz="6" w:space="4"/>
        </w:pBdr>
        <w:spacing w:after="160" w:before="360"/>
      </w:pPr>
      <w:r>
        <w:t xml:space="preserve">9. Table Maintenance Module</w:t>
      </w:r>
    </w:p>
    <w:p>
      <w:pPr>
        <w:spacing w:after="140" w:line="276"/>
      </w:pPr>
      <w:r>
        <w:t xml:space="preserve">Table Maintenance is the single screen that manages all thirteen lookup tables listed in §3.7. It is registry-driven: one set of routes and templates serves every table, configured from one Python dictionary (TABLES in blueprints/table_maintenance.py) that names each table's label, its primary key column, which master-table columns reference it (for usage counting and reassign), and — for the two nested tables — its parent.</w:t>
      </w:r>
    </w:p>
    <w:p>
      <w:pPr>
        <w:pStyle w:val="Heading2"/>
        <w:spacing w:after="120" w:before="260"/>
      </w:pPr>
      <w:r>
        <w:t xml:space="preserve">9.1  Choosing which table to work on</w:t>
      </w:r>
    </w:p>
    <w:p>
      <w:pPr>
        <w:spacing w:after="140" w:line="276"/>
      </w:pPr>
      <w:r>
        <w:t xml:space="preserve">Table Maintenance is a two-step screen. Clicking it in the nav lands on a Tables listing — every registered lookup table shown as its own card, with its current entry count and how many of those are active, and a note when it's nested under another table (§3.4). Picking a table there opens that table's own add/edit list (with a “← All Tables” link back), rather than mixing “which table” and “what's in it” on one screen.</w:t>
      </w:r>
    </w:p>
    <w:p>
      <w:pPr>
        <w:pStyle w:val="Heading2"/>
        <w:spacing w:after="120" w:before="260"/>
      </w:pPr>
      <w:r>
        <w:t xml:space="preserve">9.2  The golden rules, restated</w:t>
      </w:r>
    </w:p>
    <w:p>
      <w:pPr>
        <w:pStyle w:val="ListParagraph"/>
        <w:numPr>
          <w:ilvl w:val="0"/>
          <w:numId w:val="2"/>
        </w:numPr>
        <w:spacing w:after="90" w:line="276"/>
      </w:pPr>
      <w:r>
        <w:rPr>
          <w:b/>
          <w:bCs/>
        </w:rPr>
        <w:t xml:space="preserve">Renaming is always safe. </w:t>
      </w:r>
      <w:r>
        <w:t xml:space="preserve">Every reference is a foreign key, so an edited label appears everywhere instantly — no propagation step, no risk of stale copies.</w:t>
      </w:r>
    </w:p>
    <w:p>
      <w:pPr>
        <w:pStyle w:val="ListParagraph"/>
        <w:numPr>
          <w:ilvl w:val="0"/>
          <w:numId w:val="2"/>
        </w:numPr>
        <w:spacing w:after="90" w:line="276"/>
      </w:pPr>
      <w:r>
        <w:rPr>
          <w:b/>
          <w:bCs/>
        </w:rPr>
        <w:t xml:space="preserve">Deactivating is always safe and reversible. </w:t>
      </w:r>
      <w:r>
        <w:t xml:space="preserve">It only hides the entry from future dropdown choices; nothing already using it is touched.</w:t>
      </w:r>
    </w:p>
    <w:p>
      <w:pPr>
        <w:pStyle w:val="ListParagraph"/>
        <w:numPr>
          <w:ilvl w:val="0"/>
          <w:numId w:val="2"/>
        </w:numPr>
        <w:spacing w:after="90" w:line="276"/>
      </w:pPr>
      <w:r>
        <w:rPr>
          <w:b/>
          <w:bCs/>
        </w:rPr>
        <w:t xml:space="preserve">Deleting is blocked while in use. </w:t>
      </w:r>
      <w:r>
        <w:t xml:space="preserve">The system checks usage before attempting a delete and redirects to Reassign rather than surfacing a raw database error.</w:t>
      </w:r>
    </w:p>
    <w:p>
      <w:pPr>
        <w:pStyle w:val="ListParagraph"/>
        <w:numPr>
          <w:ilvl w:val="0"/>
          <w:numId w:val="2"/>
        </w:numPr>
        <w:spacing w:after="90" w:line="276"/>
      </w:pPr>
      <w:r>
        <w:rPr>
          <w:b/>
          <w:bCs/>
        </w:rPr>
        <w:t xml:space="preserve">Reassign is also how you merge duplicates. </w:t>
      </w:r>
      <w:r>
        <w:t xml:space="preserve">It is reachable directly from a table's list, independent of any delete attempt, specifically to consolidate near-duplicate entries.</w:t>
      </w:r>
    </w:p>
    <w:p>
      <w:pPr>
        <w:pStyle w:val="ListParagraph"/>
        <w:numPr>
          <w:ilvl w:val="0"/>
          <w:numId w:val="2"/>
        </w:numPr>
        <w:spacing w:after="90" w:line="276"/>
      </w:pPr>
      <w:r>
        <w:rPr>
          <w:b/>
          <w:bCs/>
        </w:rPr>
        <w:t xml:space="preserve">Codes must be unique when set. </w:t>
      </w:r>
      <w:r>
        <w:t xml:space="preserve">A code is optional, but if provided it must not collide with another entry in the same table — attempting to save a duplicate code is rejected with a clear message rather than a database-level failure.</w:t>
      </w:r>
    </w:p>
    <w:p>
      <w:pPr>
        <w:pStyle w:val="ListParagraph"/>
        <w:numPr>
          <w:ilvl w:val="0"/>
          <w:numId w:val="2"/>
        </w:numPr>
        <w:spacing w:after="90" w:line="276"/>
      </w:pPr>
      <w:r>
        <w:rPr>
          <w:b/>
          <w:bCs/>
        </w:rPr>
        <w:t xml:space="preserve">Nesting goes one level deep. </w:t>
      </w:r>
      <w:r>
        <w:t xml:space="preserve">Only Knowledge Sub-Domains (under Knowledge Domains) and Content Sub-Types (under Content Types) are nested; no lookup table nests under a nested table.</w:t>
      </w:r>
    </w:p>
    <w:p>
      <w:r>
        <w:br w:type="page"/>
      </w:r>
    </w:p>
    <w:p>
      <w:pPr>
        <w:pStyle w:val="Heading1"/>
        <w:pBdr>
          <w:bottom w:val="single" w:color="1F3864" w:sz="6" w:space="4"/>
        </w:pBdr>
        <w:spacing w:after="160" w:before="360"/>
      </w:pPr>
      <w:r>
        <w:t xml:space="preserve">10. Backup &amp; Restore</w:t>
      </w:r>
    </w:p>
    <w:p>
      <w:pPr>
        <w:pStyle w:val="Heading2"/>
        <w:spacing w:after="120" w:before="260"/>
      </w:pPr>
      <w:r>
        <w:t xml:space="preserve">10.1  Creating a backup</w:t>
      </w:r>
    </w:p>
    <w:p>
      <w:pPr>
        <w:spacing w:after="140" w:line="276"/>
      </w:pPr>
      <w:r>
        <w:t xml:space="preserve">System Management → Backup &amp; Restore → “Create backup now” makes a full point-in-time copy of the live database file into instance/backups/, using SQLite's own online-backup API (Connection.backup()) rather than a raw file copy — this is safe against the database being open and in use at the same moment, which a plain file copy is not.</w:t>
      </w:r>
    </w:p>
    <w:p>
      <w:pPr>
        <w:spacing w:after="140" w:line="276"/>
      </w:pPr>
      <w:r>
        <w:t xml:space="preserve">Every backup is logged as one row in the backups table, recording: file name and path, size in bytes, the number of tables and total rows it contained, and a PRAGMA integrity_check result captured at backup time (so a corrupt backup is flagged the moment it's made, not discovered later during a restore).</w:t>
      </w:r>
    </w:p>
    <w:p>
      <w:pPr>
        <w:pStyle w:val="Heading2"/>
        <w:spacing w:after="120" w:before="260"/>
      </w:pPr>
      <w:r>
        <w:t xml:space="preserve">10.2  The three kinds of backup rows</w:t>
      </w:r>
    </w:p>
    <w:p>
      <w:pPr>
        <w:pStyle w:val="ListParagraph"/>
        <w:numPr>
          <w:ilvl w:val="0"/>
          <w:numId w:val="2"/>
        </w:numPr>
        <w:spacing w:after="90" w:line="276"/>
      </w:pPr>
      <w:r>
        <w:rPr>
          <w:b/>
          <w:bCs/>
        </w:rPr>
        <w:t xml:space="preserve">Manual — </w:t>
      </w:r>
      <w:r>
        <w:t xml:space="preserve">you clicked “Create backup now.”</w:t>
      </w:r>
    </w:p>
    <w:p>
      <w:pPr>
        <w:pStyle w:val="ListParagraph"/>
        <w:numPr>
          <w:ilvl w:val="0"/>
          <w:numId w:val="2"/>
        </w:numPr>
        <w:spacing w:after="90" w:line="276"/>
      </w:pPr>
      <w:r>
        <w:rPr>
          <w:b/>
          <w:bCs/>
        </w:rPr>
        <w:t xml:space="preserve">Pre-restore safety — </w:t>
      </w:r>
      <w:r>
        <w:t xml:space="preserve">taken automatically, every time, immediately before a restore overwrites the live database — so a restore is itself always undoable.</w:t>
      </w:r>
    </w:p>
    <w:p>
      <w:pPr>
        <w:pStyle w:val="ListParagraph"/>
        <w:numPr>
          <w:ilvl w:val="0"/>
          <w:numId w:val="2"/>
        </w:numPr>
        <w:spacing w:after="90" w:line="276"/>
      </w:pPr>
      <w:r>
        <w:rPr>
          <w:b/>
          <w:bCs/>
        </w:rPr>
        <w:t xml:space="preserve">Restore point — </w:t>
      </w:r>
      <w:r>
        <w:t xml:space="preserve">not a fresh backup file; a marker row appended to the (now-restored) log recording what the database was just restored from. This exists because restoring replaces the entire backups table along with everything else, which would otherwise erase the record of what just happened.</w:t>
      </w:r>
    </w:p>
    <w:p>
      <w:pPr>
        <w:pStyle w:val="Heading2"/>
        <w:spacing w:after="120" w:before="260"/>
      </w:pPr>
      <w:r>
        <w:t xml:space="preserve">10.3  Restoring</w:t>
      </w:r>
    </w:p>
    <w:p>
      <w:pPr>
        <w:spacing w:after="140" w:line="276"/>
      </w:pPr>
      <w:r>
        <w:t xml:space="preserve">Restoring a backup: (1) takes an automatic Pre-restore safety snapshot of the current database first; (2) closes the live database connection; (3) atomically swaps the database file (copy to a temp path, then an atomic rename over the live file); (4) reopens against the now-restored database and appends the Pre-restore safety and Restore point log rows described above; (5) clears the session and forces a fresh login, since the entire file — including the login credentials it was checked against — was just replaced.</w:t>
      </w:r>
    </w:p>
    <w:p>
      <w:pPr>
        <w:pBdr>
          <w:left w:val="single" w:color="B7472A" w:sz="12" w:space="8"/>
        </w:pBdr>
        <w:spacing w:after="200" w:before="60" w:line="276"/>
        <w:ind w:left="260"/>
      </w:pPr>
      <w:r>
        <w:rPr>
          <w:b/>
          <w:bCs/>
          <w:i/>
          <w:iCs/>
          <w:color w:val="B7472A"/>
        </w:rPr>
        <w:t xml:space="preserve">Current limitation: </w:t>
      </w:r>
      <w:r>
        <w:rPr>
          <w:i/>
          <w:iCs/>
          <w:color w:val="595959"/>
        </w:rPr>
        <w:t xml:space="preserve">Because the whole database file is swapped, restoring is an all-or-nothing operation — there is no partial or table-by-table restore. Restoring always logs everyone out.</w:t>
      </w:r>
    </w:p>
    <w:p>
      <w:pPr>
        <w:pStyle w:val="Heading2"/>
        <w:spacing w:after="120" w:before="260"/>
      </w:pPr>
      <w:r>
        <w:t xml:space="preserve">10.4  Downloading and deleting</w:t>
      </w:r>
    </w:p>
    <w:p>
      <w:pPr>
        <w:spacing w:after="140" w:line="276"/>
      </w:pPr>
      <w:r>
        <w:t xml:space="preserve">Any backup row can be downloaded as a raw .db file, or deleted (which removes both the log row and the file on disk together — never one without the other).</w:t>
      </w:r>
    </w:p>
    <w:p>
      <w:r>
        <w:br w:type="page"/>
      </w:r>
    </w:p>
    <w:p>
      <w:pPr>
        <w:pStyle w:val="Heading1"/>
        <w:pBdr>
          <w:bottom w:val="single" w:color="1F3864" w:sz="6" w:space="4"/>
        </w:pBdr>
        <w:spacing w:after="160" w:before="360"/>
      </w:pPr>
      <w:r>
        <w:t xml:space="preserve">11. Data Exchange — Import &amp; Export</w:t>
      </w:r>
    </w:p>
    <w:p>
      <w:pPr>
        <w:pStyle w:val="Heading2"/>
        <w:spacing w:after="120" w:before="260"/>
      </w:pPr>
      <w:r>
        <w:t xml:space="preserve">11.1  Staged import, never a direct write</w:t>
      </w:r>
    </w:p>
    <w:p>
      <w:pPr>
        <w:spacing w:after="140" w:line="276"/>
      </w:pPr>
      <w:r>
        <w:t xml:space="preserve">Every import (currently CSV for Contacts and for Organizations) goes through the same three-step staging pattern, and nothing reaches a live table until an explicit Commit step:</w:t>
      </w:r>
    </w:p>
    <w:p>
      <w:pPr>
        <w:pStyle w:val="ListParagraph"/>
        <w:numPr>
          <w:ilvl w:val="0"/>
          <w:numId w:val="2"/>
        </w:numPr>
        <w:spacing w:after="90" w:line="276"/>
      </w:pPr>
      <w:r>
        <w:rPr>
          <w:b/>
          <w:bCs/>
        </w:rPr>
        <w:t xml:space="preserve">Stage — </w:t>
      </w:r>
      <w:r>
        <w:t xml:space="preserve">the uploaded file is parsed and every row is written to import_staging_rows as raw JSON, attached to one import_batches row (status ‘Staged’).</w:t>
      </w:r>
    </w:p>
    <w:p>
      <w:pPr>
        <w:pStyle w:val="ListParagraph"/>
        <w:numPr>
          <w:ilvl w:val="0"/>
          <w:numId w:val="2"/>
        </w:numPr>
        <w:spacing w:after="90" w:line="276"/>
      </w:pPr>
      <w:r>
        <w:rPr>
          <w:b/>
          <w:bCs/>
        </w:rPr>
        <w:t xml:space="preserve">Validate/Review — </w:t>
      </w:r>
      <w:r>
        <w:t xml:space="preserve">each staged row is flagged Valid or Invalid with a specific reason (e.g. a blank required name, or a duplicate name already present elsewhere in the same file) before you ever see it land in a live table.</w:t>
      </w:r>
    </w:p>
    <w:p>
      <w:pPr>
        <w:pStyle w:val="ListParagraph"/>
        <w:numPr>
          <w:ilvl w:val="0"/>
          <w:numId w:val="2"/>
        </w:numPr>
        <w:spacing w:after="90" w:line="276"/>
      </w:pPr>
      <w:r>
        <w:rPr>
          <w:b/>
          <w:bCs/>
        </w:rPr>
        <w:t xml:space="preserve">Commit — </w:t>
      </w:r>
      <w:r>
        <w:t xml:space="preserve">only the Valid rows are written into the real tables. Which commit logic runs is chosen by the batch's target_module (‘contacts’ or ‘organizations’ today) through a small dispatch table, so adding a new importable module later means adding one new handler function, not touching the existing ones.</w:t>
      </w:r>
    </w:p>
    <w:p>
      <w:pPr>
        <w:pStyle w:val="Heading2"/>
        <w:spacing w:after="120" w:before="260"/>
      </w:pPr>
      <w:r>
        <w:t xml:space="preserve">11.2  Organization-specific import rules</w:t>
      </w:r>
    </w:p>
    <w:p>
      <w:pPr>
        <w:spacing w:after="140" w:line="276"/>
      </w:pPr>
      <w:r>
        <w:t xml:space="preserve">Importing Organizations auto-creates any Organization Type code found in the CSV that doesn't already exist as a lookup entry (humanizing the code into a label, with a few explicit overrides — e.g. EDU_COLLEGE → “College”, PAK_GOVT → “Pakistan Govt.”), and reuses an existing Organization by name (case-insensitive match) rather than creating a duplicate.</w:t>
      </w:r>
    </w:p>
    <w:p>
      <w:pPr>
        <w:pStyle w:val="Heading2"/>
        <w:spacing w:after="120" w:before="260"/>
      </w:pPr>
      <w:r>
        <w:t xml:space="preserve">11.3  Every batch is kept for reference</w:t>
      </w:r>
    </w:p>
    <w:p>
      <w:pPr>
        <w:spacing w:after="140" w:line="276"/>
      </w:pPr>
      <w:r>
        <w:t xml:space="preserve">import_batches records the source type, target module, original file name, row/error counts, and status for every import ever run — this is the “Recent import batches” list in the Data Exchange module. export_jobs keeps the equivalent record for every export, including its file path, so a past export can be re-downloaded rather than re-generated.</w:t>
      </w:r>
    </w:p>
    <w:p>
      <w:r>
        <w:br w:type="page"/>
      </w:r>
    </w:p>
    <w:p>
      <w:pPr>
        <w:pStyle w:val="Heading1"/>
        <w:pBdr>
          <w:bottom w:val="single" w:color="1F3864" w:sz="6" w:space="4"/>
        </w:pBdr>
        <w:spacing w:after="160" w:before="360"/>
      </w:pPr>
      <w:r>
        <w:t xml:space="preserve">12. Audit Log</w:t>
      </w:r>
    </w:p>
    <w:p>
      <w:pPr>
        <w:pStyle w:val="Heading2"/>
        <w:spacing w:after="120" w:before="260"/>
      </w:pPr>
      <w:r>
        <w:t xml:space="preserve">12.1  What's logged</w:t>
      </w:r>
    </w:p>
    <w:p>
      <w:pPr>
        <w:spacing w:after="140" w:line="276"/>
      </w:pPr>
      <w:r>
        <w:t xml:space="preserve">audit_log is a single, application-wide event log — one row per Create, Update, Delete, Login, Import, Export, Backup, Restore, Purge, or Archive action, each with a timestamp, the action word, the affected entity type and id, and a human-readable detail string. Rows are written and committed immediately after the action they describe, specifically so the audit trail survives even if the rest of that request later fails.</w:t>
      </w:r>
    </w:p>
    <w:p>
      <w:pPr>
        <w:pStyle w:val="Heading2"/>
        <w:spacing w:after="120" w:before="260"/>
      </w:pPr>
      <w:r>
        <w:t xml:space="preserve">12.2  Archiving entries older than 1 year</w:t>
      </w:r>
    </w:p>
    <w:p>
      <w:pPr>
        <w:spacing w:after="140" w:line="276"/>
      </w:pPr>
      <w:r>
        <w:rPr>
          <w:b/>
          <w:bCs/>
          <w:color w:val="1F3864"/>
        </w:rPr>
        <w:t xml:space="preserve">What it does:  </w:t>
      </w:r>
      <w:r>
        <w:t xml:space="preserve">The Audit Log page has an “Archive now” card showing how many entries are currently older than 1 year. Clicking it writes every entry with ts older than 1 year out to a CSV file under instance/exports/ (columns: log_id, ts, action, entity_type, entity_id, detail), then deletes those rows from the live audit_log table — so the table itself stays a manageable size over the years rather than growing forever.</w:t>
      </w:r>
    </w:p>
    <w:p>
      <w:pPr>
        <w:spacing w:after="140" w:line="276"/>
      </w:pPr>
      <w:r>
        <w:rPr>
          <w:b/>
          <w:bCs/>
          <w:color w:val="1F3864"/>
        </w:rPr>
        <w:t xml:space="preserve">The archive run is tracked, and re-downloadable:  </w:t>
      </w:r>
      <w:r>
        <w:t xml:space="preserve">Each run adds one row to audit_log_archives — file name/path, how many rows it holds, the oldest and newest timestamp it covers, the cutoff used, and when it ran — shown as an “Archive log” list on the page with a download link per row, the same way the backups table tracks backup files (§10).</w:t>
      </w:r>
    </w:p>
    <w:p>
      <w:pPr>
        <w:spacing w:after="140" w:line="276"/>
      </w:pPr>
      <w:r>
        <w:rPr>
          <w:b/>
          <w:bCs/>
          <w:color w:val="1F3864"/>
        </w:rPr>
        <w:t xml:space="preserve">The archive event outlives what it archived:  </w:t>
      </w:r>
      <w:r>
        <w:t xml:space="preserve">Immediately after the delete, the archive run itself is logged as a fresh audit_log row (action “Archive”, naming the row count and the CSV file) — timestamped at the moment of the run, so it's never one of the rows it just archived. That means the audit log permanently keeps a record that an archive happened and how many entries it covered, even though the entries themselves are gone from the table.</w:t>
      </w:r>
    </w:p>
    <w:p>
      <w:pPr>
        <w:pBdr>
          <w:left w:val="single" w:color="B7472A" w:sz="12" w:space="8"/>
        </w:pBdr>
        <w:spacing w:after="200" w:before="60" w:line="276"/>
        <w:ind w:left="260"/>
      </w:pPr>
      <w:r>
        <w:rPr>
          <w:b/>
          <w:bCs/>
          <w:i/>
          <w:iCs/>
          <w:color w:val="B7472A"/>
        </w:rPr>
        <w:t xml:space="preserve">Current limitation: </w:t>
      </w:r>
      <w:r>
        <w:rPr>
          <w:i/>
          <w:iCs/>
          <w:color w:val="595959"/>
        </w:rPr>
        <w:t xml:space="preserve">Once archived, the CSV file is the ONLY remaining copy of those entries — the rows are permanently deleted from audit_log itself. Losing or deleting that file loses that slice of history for good, since nothing else in PIMS retains it.</w:t>
      </w:r>
    </w:p>
    <w:p>
      <w:pPr>
        <w:spacing w:after="140" w:line="276"/>
      </w:pPr>
      <w:r>
        <w:rPr>
          <w:b/>
          <w:bCs/>
          <w:color w:val="1F3864"/>
        </w:rPr>
        <w:t xml:space="preserve">Manual only:  </w:t>
      </w:r>
      <w:r>
        <w:t xml:space="preserve">Unlike Contact purging (§7.3), there is no automatic or scheduled trigger for this — archiving only happens when someone clicks “Archive now,” which requires an explicit confirmation first since the action is permanent.</w:t>
      </w:r>
    </w:p>
    <w:p>
      <w:r>
        <w:br w:type="page"/>
      </w:r>
    </w:p>
    <w:p>
      <w:pPr>
        <w:pStyle w:val="Heading1"/>
        <w:pBdr>
          <w:bottom w:val="single" w:color="1F3864" w:sz="6" w:space="4"/>
        </w:pBdr>
        <w:spacing w:after="160" w:before="360"/>
      </w:pPr>
      <w:r>
        <w:t xml:space="preserve">Appendix A — Fixed Enumerated Fields (Not Lookup Tables)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260"/>
      </w:tblGrid>
      <w:tr>
        <w:trPr>
          <w:tblHeader/>
        </w:trPr>
        <w:tc>
          <w:tcPr>
            <w:tcW w:type="dxa" w:w="2400"/>
            <w:shd w:fill="1F3864" w:val="clear"/>
            <w:tcMar>
              <w:top w:type="dxa" w:w="60"/>
              <w:left w:type="dxa" w:w="100"/>
              <w:bottom w:type="dxa" w:w="60"/>
              <w:right w:type="dxa" w:w="100"/>
            </w:tcMar>
          </w:tcPr>
          <w:p>
            <w:pPr>
              <w:jc w:val="left"/>
            </w:pPr>
            <w:r>
              <w:rPr>
                <w:b/>
                <w:bCs/>
                <w:color w:val="FFFFFF"/>
                <w:sz w:val="20"/>
                <w:szCs w:val="20"/>
              </w:rPr>
              <w:t xml:space="preserve">Field</w:t>
            </w:r>
          </w:p>
        </w:tc>
        <w:tc>
          <w:tcPr>
            <w:tcW w:type="dxa" w:w="3900"/>
            <w:shd w:fill="1F3864" w:val="clear"/>
            <w:tcMar>
              <w:top w:type="dxa" w:w="60"/>
              <w:left w:type="dxa" w:w="100"/>
              <w:bottom w:type="dxa" w:w="60"/>
              <w:right w:type="dxa" w:w="100"/>
            </w:tcMar>
          </w:tcPr>
          <w:p>
            <w:pPr>
              <w:jc w:val="left"/>
            </w:pPr>
            <w:r>
              <w:rPr>
                <w:b/>
                <w:bCs/>
                <w:color w:val="FFFFFF"/>
                <w:sz w:val="20"/>
                <w:szCs w:val="20"/>
              </w:rPr>
              <w:t xml:space="preserve">Fixed values</w:t>
            </w:r>
          </w:p>
        </w:tc>
        <w:tc>
          <w:tcPr>
            <w:tcW w:type="dxa" w:w="3260"/>
            <w:shd w:fill="1F3864" w:val="clear"/>
            <w:tcMar>
              <w:top w:type="dxa" w:w="60"/>
              <w:left w:type="dxa" w:w="100"/>
              <w:bottom w:type="dxa" w:w="60"/>
              <w:right w:type="dxa" w:w="100"/>
            </w:tcMar>
          </w:tcPr>
          <w:p>
            <w:pPr>
              <w:jc w:val="left"/>
            </w:pPr>
            <w:r>
              <w:rPr>
                <w:b/>
                <w:bCs/>
                <w:color w:val="FFFFFF"/>
                <w:sz w:val="20"/>
                <w:szCs w:val="20"/>
              </w:rPr>
              <w:t xml:space="preserve">Enforced by</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contacts.gender</w:t>
            </w:r>
          </w:p>
        </w:tc>
        <w:tc>
          <w:tcPr>
            <w:tcW w:type="dxa" w:w="3900"/>
            <w:tcMar>
              <w:top w:type="dxa" w:w="60"/>
              <w:left w:type="dxa" w:w="100"/>
              <w:bottom w:type="dxa" w:w="60"/>
              <w:right w:type="dxa" w:w="100"/>
            </w:tcMar>
          </w:tcPr>
          <w:p>
            <w:pPr>
              <w:jc w:val="left"/>
            </w:pPr>
            <w:r>
              <w:rPr>
                <w:b w:val="false"/>
                <w:bCs w:val="false"/>
                <w:color w:val="000000"/>
                <w:sz w:val="20"/>
                <w:szCs w:val="20"/>
              </w:rPr>
              <w:t xml:space="preserve">Male, Female, Other</w:t>
            </w:r>
          </w:p>
        </w:tc>
        <w:tc>
          <w:tcPr>
            <w:tcW w:type="dxa" w:w="3260"/>
            <w:tcMar>
              <w:top w:type="dxa" w:w="60"/>
              <w:left w:type="dxa" w:w="100"/>
              <w:bottom w:type="dxa" w:w="60"/>
              <w:right w:type="dxa" w:w="100"/>
            </w:tcMar>
          </w:tcPr>
          <w:p>
            <w:pPr>
              <w:jc w:val="left"/>
            </w:pPr>
            <w:r>
              <w:rPr>
                <w:b w:val="false"/>
                <w:bCs w:val="false"/>
                <w:color w:val="000000"/>
                <w:sz w:val="20"/>
                <w:szCs w:val="20"/>
              </w:rPr>
              <w:t xml:space="preserve">GENDERS list in blueprints/contacts.py (application-level check)</w:t>
            </w:r>
          </w:p>
        </w:tc>
      </w:tr>
      <w:tr>
        <w:tc>
          <w:tcPr>
            <w:tcW w:type="dxa" w:w="2400"/>
            <w:shd w:fill="EEF2F1" w:val="clear"/>
            <w:tcMar>
              <w:top w:type="dxa" w:w="60"/>
              <w:left w:type="dxa" w:w="100"/>
              <w:bottom w:type="dxa" w:w="60"/>
              <w:right w:type="dxa" w:w="100"/>
            </w:tcMar>
          </w:tcPr>
          <w:p>
            <w:pPr>
              <w:jc w:val="left"/>
            </w:pPr>
            <w:r>
              <w:rPr>
                <w:b w:val="false"/>
                <w:bCs w:val="false"/>
                <w:color w:val="000000"/>
                <w:sz w:val="20"/>
                <w:szCs w:val="20"/>
              </w:rPr>
              <w:t xml:space="preserve">contact_phones.phone_type</w:t>
            </w:r>
          </w:p>
        </w:tc>
        <w:tc>
          <w:tcPr>
            <w:tcW w:type="dxa" w:w="3900"/>
            <w:shd w:fill="EEF2F1" w:val="clear"/>
            <w:tcMar>
              <w:top w:type="dxa" w:w="60"/>
              <w:left w:type="dxa" w:w="100"/>
              <w:bottom w:type="dxa" w:w="60"/>
              <w:right w:type="dxa" w:w="100"/>
            </w:tcMar>
          </w:tcPr>
          <w:p>
            <w:pPr>
              <w:jc w:val="left"/>
            </w:pPr>
            <w:r>
              <w:rPr>
                <w:b w:val="false"/>
                <w:bCs w:val="false"/>
                <w:color w:val="000000"/>
                <w:sz w:val="20"/>
                <w:szCs w:val="20"/>
              </w:rPr>
              <w:t xml:space="preserve">Business, Home, Mobile, WhatsApp, Business Fax</w:t>
            </w:r>
          </w:p>
        </w:tc>
        <w:tc>
          <w:tcPr>
            <w:tcW w:type="dxa" w:w="3260"/>
            <w:shd w:fill="EEF2F1" w:val="clear"/>
            <w:tcMar>
              <w:top w:type="dxa" w:w="60"/>
              <w:left w:type="dxa" w:w="100"/>
              <w:bottom w:type="dxa" w:w="60"/>
              <w:right w:type="dxa" w:w="100"/>
            </w:tcMar>
          </w:tcPr>
          <w:p>
            <w:pPr>
              <w:jc w:val="left"/>
            </w:pPr>
            <w:r>
              <w:rPr>
                <w:b w:val="false"/>
                <w:bCs w:val="false"/>
                <w:color w:val="000000"/>
                <w:sz w:val="20"/>
                <w:szCs w:val="20"/>
              </w:rPr>
              <w:t xml:space="preserve">CHECK constraint in schema.sql + PHONE_TYPES list in blueprints/contacts.py</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content_locations.location_type</w:t>
            </w:r>
          </w:p>
        </w:tc>
        <w:tc>
          <w:tcPr>
            <w:tcW w:type="dxa" w:w="3900"/>
            <w:tcMar>
              <w:top w:type="dxa" w:w="60"/>
              <w:left w:type="dxa" w:w="100"/>
              <w:bottom w:type="dxa" w:w="60"/>
              <w:right w:type="dxa" w:w="100"/>
            </w:tcMar>
          </w:tcPr>
          <w:p>
            <w:pPr>
              <w:jc w:val="left"/>
            </w:pPr>
            <w:r>
              <w:rPr>
                <w:b w:val="false"/>
                <w:bCs w:val="false"/>
                <w:color w:val="000000"/>
                <w:sz w:val="20"/>
                <w:szCs w:val="20"/>
              </w:rPr>
              <w:t xml:space="preserve">Cloud Link, Local Drive Path</w:t>
            </w:r>
          </w:p>
        </w:tc>
        <w:tc>
          <w:tcPr>
            <w:tcW w:type="dxa" w:w="3260"/>
            <w:tcMar>
              <w:top w:type="dxa" w:w="60"/>
              <w:left w:type="dxa" w:w="100"/>
              <w:bottom w:type="dxa" w:w="60"/>
              <w:right w:type="dxa" w:w="100"/>
            </w:tcMar>
          </w:tcPr>
          <w:p>
            <w:pPr>
              <w:jc w:val="left"/>
            </w:pPr>
            <w:r>
              <w:rPr>
                <w:b w:val="false"/>
                <w:bCs w:val="false"/>
                <w:color w:val="000000"/>
                <w:sz w:val="20"/>
                <w:szCs w:val="20"/>
              </w:rPr>
              <w:t xml:space="preserve">CHECK constraint in schema.sql</w:t>
            </w:r>
          </w:p>
        </w:tc>
      </w:tr>
      <w:tr>
        <w:tc>
          <w:tcPr>
            <w:tcW w:type="dxa" w:w="2400"/>
            <w:shd w:fill="EEF2F1" w:val="clear"/>
            <w:tcMar>
              <w:top w:type="dxa" w:w="60"/>
              <w:left w:type="dxa" w:w="100"/>
              <w:bottom w:type="dxa" w:w="60"/>
              <w:right w:type="dxa" w:w="100"/>
            </w:tcMar>
          </w:tcPr>
          <w:p>
            <w:pPr>
              <w:jc w:val="left"/>
            </w:pPr>
            <w:r>
              <w:rPr>
                <w:b w:val="false"/>
                <w:bCs w:val="false"/>
                <w:color w:val="000000"/>
                <w:sz w:val="20"/>
                <w:szCs w:val="20"/>
              </w:rPr>
              <w:t xml:space="preserve">import_batches.status</w:t>
            </w:r>
          </w:p>
        </w:tc>
        <w:tc>
          <w:tcPr>
            <w:tcW w:type="dxa" w:w="3900"/>
            <w:shd w:fill="EEF2F1" w:val="clear"/>
            <w:tcMar>
              <w:top w:type="dxa" w:w="60"/>
              <w:left w:type="dxa" w:w="100"/>
              <w:bottom w:type="dxa" w:w="60"/>
              <w:right w:type="dxa" w:w="100"/>
            </w:tcMar>
          </w:tcPr>
          <w:p>
            <w:pPr>
              <w:jc w:val="left"/>
            </w:pPr>
            <w:r>
              <w:rPr>
                <w:b w:val="false"/>
                <w:bCs w:val="false"/>
                <w:color w:val="000000"/>
                <w:sz w:val="20"/>
                <w:szCs w:val="20"/>
              </w:rPr>
              <w:t xml:space="preserve">Staged, Validated, Committed, Rejected</w:t>
            </w:r>
          </w:p>
        </w:tc>
        <w:tc>
          <w:tcPr>
            <w:tcW w:type="dxa" w:w="3260"/>
            <w:shd w:fill="EEF2F1" w:val="clear"/>
            <w:tcMar>
              <w:top w:type="dxa" w:w="60"/>
              <w:left w:type="dxa" w:w="100"/>
              <w:bottom w:type="dxa" w:w="60"/>
              <w:right w:type="dxa" w:w="100"/>
            </w:tcMar>
          </w:tcPr>
          <w:p>
            <w:pPr>
              <w:jc w:val="left"/>
            </w:pPr>
            <w:r>
              <w:rPr>
                <w:b w:val="false"/>
                <w:bCs w:val="false"/>
                <w:color w:val="000000"/>
                <w:sz w:val="20"/>
                <w:szCs w:val="20"/>
              </w:rPr>
              <w:t xml:space="preserve">CHECK constraint in schema.sql</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import_staging_rows.validation_status</w:t>
            </w:r>
          </w:p>
        </w:tc>
        <w:tc>
          <w:tcPr>
            <w:tcW w:type="dxa" w:w="3900"/>
            <w:tcMar>
              <w:top w:type="dxa" w:w="60"/>
              <w:left w:type="dxa" w:w="100"/>
              <w:bottom w:type="dxa" w:w="60"/>
              <w:right w:type="dxa" w:w="100"/>
            </w:tcMar>
          </w:tcPr>
          <w:p>
            <w:pPr>
              <w:jc w:val="left"/>
            </w:pPr>
            <w:r>
              <w:rPr>
                <w:b w:val="false"/>
                <w:bCs w:val="false"/>
                <w:color w:val="000000"/>
                <w:sz w:val="20"/>
                <w:szCs w:val="20"/>
              </w:rPr>
              <w:t xml:space="preserve">Pending, Valid, Invalid</w:t>
            </w:r>
          </w:p>
        </w:tc>
        <w:tc>
          <w:tcPr>
            <w:tcW w:type="dxa" w:w="3260"/>
            <w:tcMar>
              <w:top w:type="dxa" w:w="60"/>
              <w:left w:type="dxa" w:w="100"/>
              <w:bottom w:type="dxa" w:w="60"/>
              <w:right w:type="dxa" w:w="100"/>
            </w:tcMar>
          </w:tcPr>
          <w:p>
            <w:pPr>
              <w:jc w:val="left"/>
            </w:pPr>
            <w:r>
              <w:rPr>
                <w:b w:val="false"/>
                <w:bCs w:val="false"/>
                <w:color w:val="000000"/>
                <w:sz w:val="20"/>
                <w:szCs w:val="20"/>
              </w:rPr>
              <w:t xml:space="preserve">CHECK constraint in schema.sql</w:t>
            </w:r>
          </w:p>
        </w:tc>
      </w:tr>
      <w:tr>
        <w:tc>
          <w:tcPr>
            <w:tcW w:type="dxa" w:w="2400"/>
            <w:shd w:fill="EEF2F1" w:val="clear"/>
            <w:tcMar>
              <w:top w:type="dxa" w:w="60"/>
              <w:left w:type="dxa" w:w="100"/>
              <w:bottom w:type="dxa" w:w="60"/>
              <w:right w:type="dxa" w:w="100"/>
            </w:tcMar>
          </w:tcPr>
          <w:p>
            <w:pPr>
              <w:jc w:val="left"/>
            </w:pPr>
            <w:r>
              <w:rPr>
                <w:b w:val="false"/>
                <w:bCs w:val="false"/>
                <w:color w:val="000000"/>
                <w:sz w:val="20"/>
                <w:szCs w:val="20"/>
              </w:rPr>
              <w:t xml:space="preserve">backups.backup_type</w:t>
            </w:r>
          </w:p>
        </w:tc>
        <w:tc>
          <w:tcPr>
            <w:tcW w:type="dxa" w:w="3900"/>
            <w:shd w:fill="EEF2F1" w:val="clear"/>
            <w:tcMar>
              <w:top w:type="dxa" w:w="60"/>
              <w:left w:type="dxa" w:w="100"/>
              <w:bottom w:type="dxa" w:w="60"/>
              <w:right w:type="dxa" w:w="100"/>
            </w:tcMar>
          </w:tcPr>
          <w:p>
            <w:pPr>
              <w:jc w:val="left"/>
            </w:pPr>
            <w:r>
              <w:rPr>
                <w:b w:val="false"/>
                <w:bCs w:val="false"/>
                <w:color w:val="000000"/>
                <w:sz w:val="20"/>
                <w:szCs w:val="20"/>
              </w:rPr>
              <w:t xml:space="preserve">Manual, Pre-restore safety, Restore point</w:t>
            </w:r>
          </w:p>
        </w:tc>
        <w:tc>
          <w:tcPr>
            <w:tcW w:type="dxa" w:w="3260"/>
            <w:shd w:fill="EEF2F1" w:val="clear"/>
            <w:tcMar>
              <w:top w:type="dxa" w:w="60"/>
              <w:left w:type="dxa" w:w="100"/>
              <w:bottom w:type="dxa" w:w="60"/>
              <w:right w:type="dxa" w:w="100"/>
            </w:tcMar>
          </w:tcPr>
          <w:p>
            <w:pPr>
              <w:jc w:val="left"/>
            </w:pPr>
            <w:r>
              <w:rPr>
                <w:b w:val="false"/>
                <w:bCs w:val="false"/>
                <w:color w:val="000000"/>
                <w:sz w:val="20"/>
                <w:szCs w:val="20"/>
              </w:rPr>
              <w:t xml:space="preserve">CHECK constraint in schema.sql</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addresses.owner_type</w:t>
            </w:r>
          </w:p>
        </w:tc>
        <w:tc>
          <w:tcPr>
            <w:tcW w:type="dxa" w:w="3900"/>
            <w:tcMar>
              <w:top w:type="dxa" w:w="60"/>
              <w:left w:type="dxa" w:w="100"/>
              <w:bottom w:type="dxa" w:w="60"/>
              <w:right w:type="dxa" w:w="100"/>
            </w:tcMar>
          </w:tcPr>
          <w:p>
            <w:pPr>
              <w:jc w:val="left"/>
            </w:pPr>
            <w:r>
              <w:rPr>
                <w:b w:val="false"/>
                <w:bCs w:val="false"/>
                <w:color w:val="000000"/>
                <w:sz w:val="20"/>
                <w:szCs w:val="20"/>
              </w:rPr>
              <w:t xml:space="preserve">Contact, PersonalAccount</w:t>
            </w:r>
          </w:p>
        </w:tc>
        <w:tc>
          <w:tcPr>
            <w:tcW w:type="dxa" w:w="3260"/>
            <w:tcMar>
              <w:top w:type="dxa" w:w="60"/>
              <w:left w:type="dxa" w:w="100"/>
              <w:bottom w:type="dxa" w:w="60"/>
              <w:right w:type="dxa" w:w="100"/>
            </w:tcMar>
          </w:tcPr>
          <w:p>
            <w:pPr>
              <w:jc w:val="left"/>
            </w:pPr>
            <w:r>
              <w:rPr>
                <w:b w:val="false"/>
                <w:bCs w:val="false"/>
                <w:color w:val="000000"/>
                <w:sz w:val="20"/>
                <w:szCs w:val="20"/>
              </w:rPr>
              <w:t xml:space="preserve">CHECK constraint in schema.sql</w:t>
            </w:r>
          </w:p>
        </w:tc>
      </w:tr>
    </w:tbl>
    <w:p>
      <w:r>
        <w:br w:type="page"/>
      </w:r>
    </w:p>
    <w:p>
      <w:pPr>
        <w:pStyle w:val="Heading1"/>
        <w:pBdr>
          <w:bottom w:val="single" w:color="1F3864" w:sz="6" w:space="4"/>
        </w:pBdr>
        <w:spacing w:after="160" w:before="360"/>
      </w:pPr>
      <w:r>
        <w:t xml:space="preserve">Appendix B — Glossary</w:t>
      </w:r>
    </w:p>
    <w:p>
      <w:pPr>
        <w:pStyle w:val="ListParagraph"/>
        <w:numPr>
          <w:ilvl w:val="0"/>
          <w:numId w:val="2"/>
        </w:numPr>
        <w:spacing w:after="90" w:line="276"/>
      </w:pPr>
      <w:r>
        <w:rPr>
          <w:b/>
          <w:bCs/>
        </w:rPr>
        <w:t xml:space="preserve">DEK (Data Encryption Key) — </w:t>
      </w:r>
      <w:r>
        <w:t xml:space="preserve">the single key that actually encrypts sensitive fields; see §8.1.</w:t>
      </w:r>
    </w:p>
    <w:p>
      <w:pPr>
        <w:pStyle w:val="ListParagraph"/>
        <w:numPr>
          <w:ilvl w:val="0"/>
          <w:numId w:val="2"/>
        </w:numPr>
        <w:spacing w:after="90" w:line="276"/>
      </w:pPr>
      <w:r>
        <w:rPr>
          <w:b/>
          <w:bCs/>
        </w:rPr>
        <w:t xml:space="preserve">KEK (Key-Encrypting Key) — </w:t>
      </w:r>
      <w:r>
        <w:t xml:space="preserve">a key derived from the password or seed phrase, used only to wrap/unwrap the DEK, never to encrypt data directly.</w:t>
      </w:r>
    </w:p>
    <w:p>
      <w:pPr>
        <w:pStyle w:val="ListParagraph"/>
        <w:numPr>
          <w:ilvl w:val="0"/>
          <w:numId w:val="2"/>
        </w:numPr>
        <w:spacing w:after="90" w:line="276"/>
      </w:pPr>
      <w:r>
        <w:rPr>
          <w:b/>
          <w:bCs/>
        </w:rPr>
        <w:t xml:space="preserve">Lookup table — </w:t>
      </w:r>
      <w:r>
        <w:t xml:space="preserve">a small reference list sharing the standard id/code/label/description/sort_order/is_active shape, managed through Table Maintenance; see §3.</w:t>
      </w:r>
    </w:p>
    <w:p>
      <w:pPr>
        <w:pStyle w:val="ListParagraph"/>
        <w:numPr>
          <w:ilvl w:val="0"/>
          <w:numId w:val="2"/>
        </w:numPr>
        <w:spacing w:after="90" w:line="276"/>
      </w:pPr>
      <w:r>
        <w:rPr>
          <w:b/>
          <w:bCs/>
        </w:rPr>
        <w:t xml:space="preserve">Soft delete — </w:t>
      </w:r>
      <w:r>
        <w:t xml:space="preserve">marking a row is_deleted = 1 instead of removing it; used only for Contacts, paired with an archive snapshot; see §7.2.</w:t>
      </w:r>
    </w:p>
    <w:p>
      <w:pPr>
        <w:pStyle w:val="ListParagraph"/>
        <w:numPr>
          <w:ilvl w:val="0"/>
          <w:numId w:val="2"/>
        </w:numPr>
        <w:spacing w:after="90" w:line="276"/>
      </w:pPr>
      <w:r>
        <w:rPr>
          <w:b/>
          <w:bCs/>
        </w:rPr>
        <w:t xml:space="preserve">Purge — </w:t>
      </w:r>
      <w:r>
        <w:t xml:space="preserve">the permanent, irreversible erasure of a Contact and its archive snapshot once its retention window elapses — distinct from (and comes after) a soft delete; see §7.3.</w:t>
      </w:r>
    </w:p>
    <w:p>
      <w:pPr>
        <w:pStyle w:val="ListParagraph"/>
        <w:numPr>
          <w:ilvl w:val="0"/>
          <w:numId w:val="2"/>
        </w:numPr>
        <w:spacing w:after="90" w:line="276"/>
      </w:pPr>
      <w:r>
        <w:rPr>
          <w:b/>
          <w:bCs/>
        </w:rPr>
        <w:t xml:space="preserve">Archive (Audit Log) — </w:t>
      </w:r>
      <w:r>
        <w:t xml:space="preserve">manually exporting audit_log entries older than 1 year to a CSV file and then deleting them from the live table — not to be confused with a Contact's archive snapshot (contacts_archive) or with Purge; see §12.2.</w:t>
      </w:r>
    </w:p>
    <w:p>
      <w:pPr>
        <w:pStyle w:val="ListParagraph"/>
        <w:numPr>
          <w:ilvl w:val="0"/>
          <w:numId w:val="2"/>
        </w:numPr>
        <w:spacing w:after="90" w:line="276"/>
      </w:pPr>
      <w:r>
        <w:rPr>
          <w:b/>
          <w:bCs/>
        </w:rPr>
        <w:t xml:space="preserve">Reassign / merge — </w:t>
      </w:r>
      <w:r>
        <w:t xml:space="preserve">bulk-moving every record that points at one lookup/organization entry over to another, then optionally deleting the now-unused original; see §3.3.</w:t>
      </w:r>
    </w:p>
    <w:p>
      <w:pPr>
        <w:pStyle w:val="ListParagraph"/>
        <w:numPr>
          <w:ilvl w:val="0"/>
          <w:numId w:val="2"/>
        </w:numPr>
        <w:spacing w:after="90" w:line="276"/>
      </w:pPr>
      <w:r>
        <w:rPr>
          <w:b/>
          <w:bCs/>
        </w:rPr>
        <w:t xml:space="preserve">Staging — </w:t>
      </w:r>
      <w:r>
        <w:t xml:space="preserve">the intermediate holding area (import_batches / import_staging_rows) every import passes through before anything is committed to a live table; see §11.1.</w:t>
      </w:r>
    </w:p>
    <w:p>
      <w:pPr>
        <w:pStyle w:val="ListParagraph"/>
        <w:numPr>
          <w:ilvl w:val="0"/>
          <w:numId w:val="2"/>
        </w:numPr>
        <w:spacing w:after="90" w:line="276"/>
      </w:pPr>
      <w:r>
        <w:rPr>
          <w:b/>
          <w:bCs/>
        </w:rPr>
        <w:t xml:space="preserve">Envelope encryption — </w:t>
      </w:r>
      <w:r>
        <w:t xml:space="preserve">the two-layer scheme where a single DEK encrypts data and is itself wrapped by two independent KEKs (password and seed phrase); see §8.1.</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52"/>
      <w:szCs w:val="52"/>
    </w:rPr>
  </w:style>
  <w:style w:type="paragraph" w:styleId="Heading1">
    <w:name w:val="Heading 1"/>
    <w:basedOn w:val="Normal"/>
    <w:next w:val="Normal"/>
    <w:rPr>
      <w:rFonts w:ascii="Calibri" w:cs="Calibri" w:eastAsia="Calibri" w:hAnsi="Calibri"/>
      <w:b/>
      <w:bCs/>
      <w:color w:val="1F3864"/>
      <w:sz w:val="32"/>
      <w:szCs w:val="32"/>
    </w:rPr>
  </w:style>
  <w:style w:type="paragraph" w:styleId="Heading2">
    <w:name w:val="Heading 2"/>
    <w:basedOn w:val="Normal"/>
    <w:next w:val="Normal"/>
    <w:rPr>
      <w:rFonts w:ascii="Calibri" w:cs="Calibri" w:eastAsia="Calibri" w:hAnsi="Calibri"/>
      <w:b/>
      <w:bCs/>
      <w:color w:val="2E6E62"/>
      <w:sz w:val="26"/>
      <w:szCs w:val="26"/>
    </w:rPr>
  </w:style>
  <w:style w:type="paragraph" w:styleId="Heading3">
    <w:name w:val="Heading 3"/>
    <w:basedOn w:val="Normal"/>
    <w:next w:val="Normal"/>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2026-08-25T01:31:17.890Z</dcterms:created>
  <dcterms:modified xsi:type="dcterms:W3CDTF">2026-08-25T01:31:17.902Z</dcterms:modified>
</cp:coreProperties>
</file>

<file path=docProps/custom.xml><?xml version="1.0" encoding="utf-8"?>
<Properties xmlns="http://schemas.openxmlformats.org/officeDocument/2006/custom-properties" xmlns:vt="http://schemas.openxmlformats.org/officeDocument/2006/docPropsVTypes"/>
</file>