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64748B"/>
          <w:sz w:val="26"/>
        </w:rPr>
        <w:t>EFREI Paris  |  DATA Engineering &amp; AI</w:t>
      </w:r>
    </w:p>
    <w:p>
      <w:pPr>
        <w:jc w:val="center"/>
      </w:pPr>
      <w:r>
        <w:rPr>
          <w:rFonts w:ascii="Calibri" w:hAnsi="Calibri"/>
          <w:color w:val="64748B"/>
          <w:sz w:val="24"/>
        </w:rPr>
        <w:t>Master 1 — Projet Data Science</w:t>
      </w:r>
    </w:p>
    <w:p/>
    <w:p/>
    <w:p>
      <w:pPr>
        <w:jc w:val="center"/>
      </w:pPr>
      <w:r>
        <w:rPr>
          <w:rFonts w:ascii="Calibri" w:hAnsi="Calibri"/>
          <w:b/>
          <w:color w:val="1E3A5F"/>
          <w:sz w:val="52"/>
        </w:rPr>
        <w:t>Système Intelligent Multi-Modèles</w:t>
      </w:r>
    </w:p>
    <w:p>
      <w:pPr>
        <w:jc w:val="center"/>
      </w:pPr>
      <w:r>
        <w:rPr>
          <w:rFonts w:ascii="Calibri" w:hAnsi="Calibri"/>
          <w:b/>
          <w:color w:val="2563EB"/>
          <w:sz w:val="40"/>
        </w:rPr>
        <w:t>Optimisation du Retour sur Investissement Marketing</w:t>
      </w:r>
    </w:p>
    <w:p/>
    <w:p>
      <w:pPr>
        <w:jc w:val="center"/>
      </w:pPr>
      <w:r>
        <w:rPr>
          <w:rFonts w:ascii="Calibri" w:hAnsi="Calibri"/>
          <w:color w:val="DBEAFE"/>
        </w:rPr>
        <w:t>─────────────────────────────────────────────</w:t>
      </w:r>
    </w:p>
    <w:p/>
    <w:p/>
    <w:p>
      <w:pPr>
        <w:jc w:val="center"/>
      </w:pPr>
      <w:r>
        <w:rPr>
          <w:rFonts w:ascii="Calibri" w:hAnsi="Calibri"/>
          <w:color w:val="64748B"/>
          <w:sz w:val="24"/>
        </w:rPr>
        <w:t xml:space="preserve">Auteur : </w:t>
      </w:r>
      <w:r>
        <w:rPr>
          <w:rFonts w:ascii="Calibri" w:hAnsi="Calibri"/>
          <w:b/>
          <w:color w:val="1E293B"/>
          <w:sz w:val="24"/>
        </w:rPr>
        <w:t>Salah Eddine Zbiri</w:t>
      </w:r>
    </w:p>
    <w:p>
      <w:pPr>
        <w:jc w:val="center"/>
      </w:pPr>
      <w:r>
        <w:rPr>
          <w:rFonts w:ascii="Calibri" w:hAnsi="Calibri"/>
          <w:color w:val="64748B"/>
          <w:sz w:val="24"/>
        </w:rPr>
        <w:t xml:space="preserve">Encadrant : </w:t>
      </w:r>
      <w:r>
        <w:rPr>
          <w:rFonts w:ascii="Calibri" w:hAnsi="Calibri"/>
          <w:b/>
          <w:color w:val="1E293B"/>
          <w:sz w:val="24"/>
        </w:rPr>
        <w:t>Sarah Malaeb</w:t>
      </w:r>
    </w:p>
    <w:p>
      <w:pPr>
        <w:jc w:val="center"/>
      </w:pPr>
      <w:r>
        <w:rPr>
          <w:rFonts w:ascii="Calibri" w:hAnsi="Calibri"/>
          <w:color w:val="64748B"/>
          <w:sz w:val="24"/>
        </w:rPr>
        <w:t xml:space="preserve">Promotion : </w:t>
      </w:r>
      <w:r>
        <w:rPr>
          <w:rFonts w:ascii="Calibri" w:hAnsi="Calibri"/>
          <w:b/>
          <w:color w:val="1E293B"/>
          <w:sz w:val="24"/>
        </w:rPr>
        <w:t>M1 Data Engineering &amp; AI — 2025/2026</w:t>
      </w:r>
    </w:p>
    <w:p>
      <w:pPr>
        <w:jc w:val="center"/>
      </w:pPr>
      <w:r>
        <w:rPr>
          <w:rFonts w:ascii="Calibri" w:hAnsi="Calibri"/>
          <w:color w:val="64748B"/>
          <w:sz w:val="24"/>
        </w:rPr>
        <w:t xml:space="preserve">Date de rendu : </w:t>
      </w:r>
      <w:r>
        <w:rPr>
          <w:rFonts w:ascii="Calibri" w:hAnsi="Calibri"/>
          <w:b/>
          <w:color w:val="1E293B"/>
          <w:sz w:val="24"/>
        </w:rPr>
        <w:t>Juin 2026</w:t>
      </w:r>
    </w:p>
    <w:p>
      <w:r>
        <w:br w:type="page"/>
      </w:r>
    </w:p>
    <w:p>
      <w:pPr>
        <w:pStyle w:val="Heading1"/>
        <w:jc w:val="left"/>
      </w:pPr>
      <w:r>
        <w:rPr>
          <w:rFonts w:ascii="Calibri" w:hAnsi="Calibri"/>
          <w:color w:val="1E3A5F"/>
        </w:rPr>
        <w:t>Résumé Exécutif</w:t>
      </w:r>
    </w:p>
    <w:p>
      <w:pPr>
        <w:spacing w:before="80" w:after="80"/>
        <w:ind w:left="216" w:right="216"/>
        <w:jc w:val="left"/>
        <w:shd w:val="clear" w:color="auto" w:fill="DBEAFE"/>
      </w:pPr>
      <w:r>
        <w:rPr>
          <w:rFonts w:ascii="Calibri" w:hAnsi="Calibri"/>
          <w:color w:val="1E3A5F"/>
          <w:sz w:val="21"/>
        </w:rPr>
        <w:t>Ce projet présente la conception d'un système intelligent complet d'aide à la décision pour l'optimisation du ROI marketing. À partir du dataset Kaggle Dummy Advertising &amp; Sales (~4 500 campagnes multicanal : TV, Radio, Social Media, Influencer), quatre modèles supervisés ont été entraînés, comparés et interprétés. Le modèle XGBoost retenu atteint un R² de 0.9985 et une MAPE de 1.84% sur le test set, avec zéro overfitting. L'analyse SHAP révèle que le budget TV explique à lui seul 95.69% des ventes, tandis que le type d'influenceur n'a qu'un impact de 0.13% — une information stratégique majeure pour le CMO. La solution inclut un dashboard Streamlit interactif (5 pages) et une API REST FastAPI déployable.</w:t>
      </w:r>
    </w:p>
    <w:p/>
    <w:p>
      <w:pPr>
        <w:pStyle w:val="Heading1"/>
        <w:jc w:val="left"/>
      </w:pPr>
      <w:r>
        <w:rPr>
          <w:rFonts w:ascii="Calibri" w:hAnsi="Calibri"/>
          <w:color w:val="1E3A5F"/>
        </w:rPr>
        <w:t>Table des matières</w:t>
      </w:r>
    </w:p>
    <w:p>
      <w:pPr>
        <w:tabs>
          <w:tab w:pos="7920" w:val="left"/>
        </w:tabs>
      </w:pPr>
      <w:r>
        <w:rPr>
          <w:rFonts w:ascii="Calibri" w:hAnsi="Calibri"/>
          <w:sz w:val="22"/>
        </w:rPr>
        <w:t>1.  Introduction et contexte métier</w:t>
      </w:r>
      <w:r>
        <w:rPr>
          <w:rFonts w:ascii="Calibri" w:hAnsi="Calibri"/>
          <w:color w:val="64748B"/>
          <w:sz w:val="22"/>
        </w:rPr>
        <w:tab/>
        <w:t>3</w:t>
      </w:r>
    </w:p>
    <w:p>
      <w:pPr>
        <w:tabs>
          <w:tab w:pos="7920" w:val="left"/>
        </w:tabs>
      </w:pPr>
      <w:r>
        <w:rPr>
          <w:rFonts w:ascii="Calibri" w:hAnsi="Calibri"/>
          <w:sz w:val="22"/>
        </w:rPr>
        <w:t>2.  Dataset et Analyse Exploratoire (EDA)</w:t>
      </w:r>
      <w:r>
        <w:rPr>
          <w:rFonts w:ascii="Calibri" w:hAnsi="Calibri"/>
          <w:color w:val="64748B"/>
          <w:sz w:val="22"/>
        </w:rPr>
        <w:tab/>
        <w:t>4</w:t>
      </w:r>
    </w:p>
    <w:p>
      <w:pPr>
        <w:tabs>
          <w:tab w:pos="7920" w:val="left"/>
        </w:tabs>
      </w:pPr>
      <w:r>
        <w:rPr>
          <w:rFonts w:ascii="Calibri" w:hAnsi="Calibri"/>
          <w:sz w:val="22"/>
        </w:rPr>
        <w:t>3.  Pipeline de Preprocessing</w:t>
      </w:r>
      <w:r>
        <w:rPr>
          <w:rFonts w:ascii="Calibri" w:hAnsi="Calibri"/>
          <w:color w:val="64748B"/>
          <w:sz w:val="22"/>
        </w:rPr>
        <w:tab/>
        <w:t>6</w:t>
      </w:r>
    </w:p>
    <w:p>
      <w:pPr>
        <w:tabs>
          <w:tab w:pos="7920" w:val="left"/>
        </w:tabs>
      </w:pPr>
      <w:r>
        <w:rPr>
          <w:rFonts w:ascii="Calibri" w:hAnsi="Calibri"/>
          <w:sz w:val="22"/>
        </w:rPr>
        <w:t>4.  Modélisation multi-algorithmes</w:t>
      </w:r>
      <w:r>
        <w:rPr>
          <w:rFonts w:ascii="Calibri" w:hAnsi="Calibri"/>
          <w:color w:val="64748B"/>
          <w:sz w:val="22"/>
        </w:rPr>
        <w:tab/>
        <w:t>8</w:t>
      </w:r>
    </w:p>
    <w:p>
      <w:pPr>
        <w:tabs>
          <w:tab w:pos="7920" w:val="left"/>
        </w:tabs>
      </w:pPr>
      <w:r>
        <w:rPr>
          <w:rFonts w:ascii="Calibri" w:hAnsi="Calibri"/>
          <w:sz w:val="22"/>
        </w:rPr>
        <w:t>5.  Évaluation et comparaison des modèles</w:t>
      </w:r>
      <w:r>
        <w:rPr>
          <w:rFonts w:ascii="Calibri" w:hAnsi="Calibri"/>
          <w:color w:val="64748B"/>
          <w:sz w:val="22"/>
        </w:rPr>
        <w:tab/>
        <w:t>10</w:t>
      </w:r>
    </w:p>
    <w:p>
      <w:pPr>
        <w:tabs>
          <w:tab w:pos="7920" w:val="left"/>
        </w:tabs>
      </w:pPr>
      <w:r>
        <w:rPr>
          <w:rFonts w:ascii="Calibri" w:hAnsi="Calibri"/>
          <w:sz w:val="22"/>
        </w:rPr>
        <w:t>6.  Interprétabilité des prédictions</w:t>
      </w:r>
      <w:r>
        <w:rPr>
          <w:rFonts w:ascii="Calibri" w:hAnsi="Calibri"/>
          <w:color w:val="64748B"/>
          <w:sz w:val="22"/>
        </w:rPr>
        <w:tab/>
        <w:t>13</w:t>
      </w:r>
    </w:p>
    <w:p>
      <w:pPr>
        <w:tabs>
          <w:tab w:pos="7920" w:val="left"/>
        </w:tabs>
      </w:pPr>
      <w:r>
        <w:rPr>
          <w:rFonts w:ascii="Calibri" w:hAnsi="Calibri"/>
          <w:sz w:val="22"/>
        </w:rPr>
        <w:t>7.  Dashboard décisionnel (Streamlit)</w:t>
      </w:r>
      <w:r>
        <w:rPr>
          <w:rFonts w:ascii="Calibri" w:hAnsi="Calibri"/>
          <w:color w:val="64748B"/>
          <w:sz w:val="22"/>
        </w:rPr>
        <w:tab/>
        <w:t>15</w:t>
      </w:r>
    </w:p>
    <w:p>
      <w:pPr>
        <w:tabs>
          <w:tab w:pos="7920" w:val="left"/>
        </w:tabs>
      </w:pPr>
      <w:r>
        <w:rPr>
          <w:rFonts w:ascii="Calibri" w:hAnsi="Calibri"/>
          <w:sz w:val="22"/>
        </w:rPr>
        <w:t>8.  API REST (FastAPI)</w:t>
      </w:r>
      <w:r>
        <w:rPr>
          <w:rFonts w:ascii="Calibri" w:hAnsi="Calibri"/>
          <w:color w:val="64748B"/>
          <w:sz w:val="22"/>
        </w:rPr>
        <w:tab/>
        <w:t>16</w:t>
      </w:r>
    </w:p>
    <w:p>
      <w:pPr>
        <w:tabs>
          <w:tab w:pos="7920" w:val="left"/>
        </w:tabs>
      </w:pPr>
      <w:r>
        <w:rPr>
          <w:rFonts w:ascii="Calibri" w:hAnsi="Calibri"/>
          <w:sz w:val="22"/>
        </w:rPr>
        <w:t>9.  Conclusion et recommandations</w:t>
      </w:r>
      <w:r>
        <w:rPr>
          <w:rFonts w:ascii="Calibri" w:hAnsi="Calibri"/>
          <w:color w:val="64748B"/>
          <w:sz w:val="22"/>
        </w:rPr>
        <w:tab/>
        <w:t>17</w:t>
      </w:r>
    </w:p>
    <w:p>
      <w:r>
        <w:br w:type="page"/>
      </w:r>
    </w:p>
    <w:p>
      <w:pPr>
        <w:pStyle w:val="Heading1"/>
        <w:jc w:val="left"/>
      </w:pPr>
      <w:r>
        <w:rPr>
          <w:rFonts w:ascii="Calibri" w:hAnsi="Calibri"/>
          <w:color w:val="1E3A5F"/>
        </w:rPr>
        <w:t>1. Introduction et contexte métier</w:t>
      </w:r>
    </w:p>
    <w:p>
      <w:pPr>
        <w:pStyle w:val="Heading2"/>
        <w:jc w:val="left"/>
      </w:pPr>
      <w:r>
        <w:rPr>
          <w:rFonts w:ascii="Calibri" w:hAnsi="Calibri"/>
          <w:color w:val="2563EB"/>
        </w:rPr>
        <w:t>1.1 Problématique</w:t>
      </w:r>
    </w:p>
    <w:p>
      <w:r>
        <w:t>Dans un environnement marketing multicanal hautement concurrentiel, les entreprises investissent des millions de dollars en budgets publicitaires (TV, Radio, Social Media, Influencer) sans disposer d'outils objectifs pour estimer le retour sur investissement (ROI) avant l'exécution des campagnes. La question centrale de ce projet est la suivante :</w:t>
        <w:br/>
        <w:t>Comment prédire le volume de ventes généré par une combinaison donnée de budgets marketing, et quels canaux maximisent réellement le ROI ?</w:t>
      </w:r>
    </w:p>
    <w:p>
      <w:pPr>
        <w:pStyle w:val="Heading2"/>
        <w:jc w:val="left"/>
      </w:pPr>
      <w:r>
        <w:rPr>
          <w:rFonts w:ascii="Calibri" w:hAnsi="Calibri"/>
          <w:color w:val="2563EB"/>
        </w:rPr>
        <w:t>1.2 Objectifs pédagogiques</w:t>
      </w:r>
    </w:p>
    <w:p>
      <w:pPr>
        <w:pStyle w:val="ListBullet"/>
      </w:pPr>
      <w:r>
        <w:rPr>
          <w:rFonts w:ascii="Calibri" w:hAnsi="Calibri"/>
          <w:sz w:val="22"/>
        </w:rPr>
        <w:t>Implémenter un pipeline Data Science complet : EDA → Preprocessing → Modélisation → Évaluation → Interprétabilité</w:t>
      </w:r>
    </w:p>
    <w:p>
      <w:pPr>
        <w:pStyle w:val="ListBullet"/>
      </w:pPr>
      <w:r>
        <w:rPr>
          <w:rFonts w:ascii="Calibri" w:hAnsi="Calibri"/>
          <w:sz w:val="22"/>
        </w:rPr>
        <w:t>Comparer au minimum 4 modèles supervisés incluant un modèle Deep Learning (MLP)</w:t>
      </w:r>
    </w:p>
    <w:p>
      <w:pPr>
        <w:pStyle w:val="ListBullet"/>
      </w:pPr>
      <w:r>
        <w:rPr>
          <w:rFonts w:ascii="Calibri" w:hAnsi="Calibri"/>
          <w:sz w:val="22"/>
        </w:rPr>
        <w:t>Identifier le meilleur compromis performance / interprétabilité / coût computationnel</w:t>
      </w:r>
    </w:p>
    <w:p>
      <w:pPr>
        <w:pStyle w:val="ListBullet"/>
      </w:pPr>
      <w:r>
        <w:rPr>
          <w:rFonts w:ascii="Calibri" w:hAnsi="Calibri"/>
          <w:sz w:val="22"/>
        </w:rPr>
        <w:t>Concevoir un dashboard décisionnel orienté utilisateur métier (CMO)</w:t>
      </w:r>
    </w:p>
    <w:p>
      <w:pPr>
        <w:pStyle w:val="ListBullet"/>
      </w:pPr>
      <w:r>
        <w:rPr>
          <w:rFonts w:ascii="Calibri" w:hAnsi="Calibri"/>
          <w:sz w:val="22"/>
        </w:rPr>
        <w:t>Industrialiser la solution via une API REST déployable (FastAPI)</w:t>
      </w:r>
    </w:p>
    <w:p>
      <w:pPr>
        <w:pStyle w:val="Heading2"/>
        <w:jc w:val="left"/>
      </w:pPr>
      <w:r>
        <w:rPr>
          <w:rFonts w:ascii="Calibri" w:hAnsi="Calibri"/>
          <w:color w:val="2563EB"/>
        </w:rPr>
        <w:t>1.3 Compétences RNCP40875 — Bloc 2 ciblées</w:t>
      </w:r>
    </w:p>
    <w:tbl>
      <w:tblPr>
        <w:tblStyle w:val="TableGrid"/>
        <w:tblW w:type="auto" w:w="0"/>
        <w:tblLook w:firstColumn="1" w:firstRow="1" w:lastColumn="0" w:lastRow="0" w:noHBand="0" w:noVBand="1" w:val="04A0"/>
      </w:tblPr>
      <w:tblGrid>
        <w:gridCol w:w="4370"/>
        <w:gridCol w:w="4370"/>
      </w:tblGrid>
      <w:tr>
        <w:tc>
          <w:tcPr>
            <w:tcW w:type="dxa" w:w="4370"/>
            <w:shd w:val="clear" w:color="auto" w:fill="1E3A5F"/>
          </w:tcPr>
          <w:p>
            <w:pPr>
              <w:jc w:val="center"/>
            </w:pPr>
            <w:r>
              <w:rPr>
                <w:rFonts w:ascii="Calibri" w:hAnsi="Calibri"/>
                <w:b/>
                <w:color w:val="FFFFFF"/>
                <w:sz w:val="20"/>
              </w:rPr>
              <w:t>Compétence</w:t>
            </w:r>
          </w:p>
        </w:tc>
        <w:tc>
          <w:tcPr>
            <w:tcW w:type="dxa" w:w="4370"/>
            <w:shd w:val="clear" w:color="auto" w:fill="1E3A5F"/>
          </w:tcPr>
          <w:p>
            <w:pPr>
              <w:jc w:val="center"/>
            </w:pPr>
            <w:r>
              <w:rPr>
                <w:rFonts w:ascii="Calibri" w:hAnsi="Calibri"/>
                <w:b/>
                <w:color w:val="FFFFFF"/>
                <w:sz w:val="20"/>
              </w:rPr>
              <w:t>Description</w:t>
            </w:r>
          </w:p>
        </w:tc>
      </w:tr>
      <w:tr>
        <w:tc>
          <w:tcPr>
            <w:tcW w:type="dxa" w:w="4370"/>
            <w:shd w:val="clear" w:color="auto" w:fill="F1F5F9"/>
          </w:tcPr>
          <w:p>
            <w:pPr>
              <w:jc w:val="center"/>
            </w:pPr>
            <w:r>
              <w:rPr>
                <w:rFonts w:ascii="Calibri" w:hAnsi="Calibri"/>
                <w:b/>
                <w:color w:val="10B981"/>
                <w:sz w:val="20"/>
              </w:rPr>
              <w:t>C3.1</w:t>
            </w:r>
          </w:p>
        </w:tc>
        <w:tc>
          <w:tcPr>
            <w:tcW w:type="dxa" w:w="4370"/>
            <w:shd w:val="clear" w:color="auto" w:fill="F1F5F9"/>
          </w:tcPr>
          <w:p>
            <w:pPr>
              <w:jc w:val="center"/>
            </w:pPr>
            <w:r>
              <w:rPr>
                <w:rFonts w:ascii="Calibri" w:hAnsi="Calibri"/>
                <w:b/>
                <w:color w:val="10B981"/>
                <w:sz w:val="20"/>
              </w:rPr>
              <w:t>Préparation et transformation des données (pipeline sklearn anti data leakage)</w:t>
            </w:r>
          </w:p>
        </w:tc>
      </w:tr>
      <w:tr>
        <w:tc>
          <w:tcPr>
            <w:tcW w:type="dxa" w:w="4370"/>
            <w:shd w:val="clear" w:color="auto" w:fill="FFFFFF"/>
          </w:tcPr>
          <w:p>
            <w:pPr>
              <w:jc w:val="center"/>
            </w:pPr>
            <w:r>
              <w:rPr>
                <w:rFonts w:ascii="Calibri" w:hAnsi="Calibri"/>
                <w:sz w:val="20"/>
              </w:rPr>
              <w:t>C3.2</w:t>
            </w:r>
          </w:p>
        </w:tc>
        <w:tc>
          <w:tcPr>
            <w:tcW w:type="dxa" w:w="4370"/>
            <w:shd w:val="clear" w:color="auto" w:fill="FFFFFF"/>
          </w:tcPr>
          <w:p>
            <w:pPr>
              <w:jc w:val="center"/>
            </w:pPr>
            <w:r>
              <w:rPr>
                <w:rFonts w:ascii="Calibri" w:hAnsi="Calibri"/>
                <w:sz w:val="20"/>
              </w:rPr>
              <w:t>Communication infographique (dashboard 5 pages, graphiques interactifs)</w:t>
            </w:r>
          </w:p>
        </w:tc>
      </w:tr>
      <w:tr>
        <w:tc>
          <w:tcPr>
            <w:tcW w:type="dxa" w:w="4370"/>
            <w:shd w:val="clear" w:color="auto" w:fill="F1F5F9"/>
          </w:tcPr>
          <w:p>
            <w:pPr>
              <w:jc w:val="center"/>
            </w:pPr>
            <w:r>
              <w:rPr>
                <w:rFonts w:ascii="Calibri" w:hAnsi="Calibri"/>
                <w:sz w:val="20"/>
              </w:rPr>
              <w:t>C3.3</w:t>
            </w:r>
          </w:p>
        </w:tc>
        <w:tc>
          <w:tcPr>
            <w:tcW w:type="dxa" w:w="4370"/>
            <w:shd w:val="clear" w:color="auto" w:fill="F1F5F9"/>
          </w:tcPr>
          <w:p>
            <w:pPr>
              <w:jc w:val="center"/>
            </w:pPr>
            <w:r>
              <w:rPr>
                <w:rFonts w:ascii="Calibri" w:hAnsi="Calibri"/>
                <w:sz w:val="20"/>
              </w:rPr>
              <w:t>Analyse exploratoire documentée (EDA avec insights métier)</w:t>
            </w:r>
          </w:p>
        </w:tc>
      </w:tr>
      <w:tr>
        <w:tc>
          <w:tcPr>
            <w:tcW w:type="dxa" w:w="4370"/>
            <w:shd w:val="clear" w:color="auto" w:fill="FFFFFF"/>
          </w:tcPr>
          <w:p>
            <w:pPr>
              <w:jc w:val="center"/>
            </w:pPr>
            <w:r>
              <w:rPr>
                <w:rFonts w:ascii="Calibri" w:hAnsi="Calibri"/>
                <w:sz w:val="20"/>
              </w:rPr>
              <w:t>C4.1</w:t>
            </w:r>
          </w:p>
        </w:tc>
        <w:tc>
          <w:tcPr>
            <w:tcW w:type="dxa" w:w="4370"/>
            <w:shd w:val="clear" w:color="auto" w:fill="FFFFFF"/>
          </w:tcPr>
          <w:p>
            <w:pPr>
              <w:jc w:val="center"/>
            </w:pPr>
            <w:r>
              <w:rPr>
                <w:rFonts w:ascii="Calibri" w:hAnsi="Calibri"/>
                <w:sz w:val="20"/>
              </w:rPr>
              <w:t>Stratégie d'intégration IA (API REST + dashboard orienté CMO)</w:t>
            </w:r>
          </w:p>
        </w:tc>
      </w:tr>
      <w:tr>
        <w:tc>
          <w:tcPr>
            <w:tcW w:type="dxa" w:w="4370"/>
            <w:shd w:val="clear" w:color="auto" w:fill="F1F5F9"/>
          </w:tcPr>
          <w:p>
            <w:pPr>
              <w:jc w:val="center"/>
            </w:pPr>
            <w:r>
              <w:rPr>
                <w:rFonts w:ascii="Calibri" w:hAnsi="Calibri"/>
                <w:sz w:val="20"/>
              </w:rPr>
              <w:t>C4.2</w:t>
            </w:r>
          </w:p>
        </w:tc>
        <w:tc>
          <w:tcPr>
            <w:tcW w:type="dxa" w:w="4370"/>
            <w:shd w:val="clear" w:color="auto" w:fill="F1F5F9"/>
          </w:tcPr>
          <w:p>
            <w:pPr>
              <w:jc w:val="center"/>
            </w:pPr>
            <w:r>
              <w:rPr>
                <w:rFonts w:ascii="Calibri" w:hAnsi="Calibri"/>
                <w:sz w:val="20"/>
              </w:rPr>
              <w:t>Développement de modèles prédictifs (4 modèles, GridSearchCV)</w:t>
            </w:r>
          </w:p>
        </w:tc>
      </w:tr>
      <w:tr>
        <w:tc>
          <w:tcPr>
            <w:tcW w:type="dxa" w:w="4370"/>
            <w:shd w:val="clear" w:color="auto" w:fill="FFFFFF"/>
          </w:tcPr>
          <w:p>
            <w:pPr>
              <w:jc w:val="center"/>
            </w:pPr>
            <w:r>
              <w:rPr>
                <w:rFonts w:ascii="Calibri" w:hAnsi="Calibri"/>
                <w:sz w:val="20"/>
              </w:rPr>
              <w:t>C4.3</w:t>
            </w:r>
          </w:p>
        </w:tc>
        <w:tc>
          <w:tcPr>
            <w:tcW w:type="dxa" w:w="4370"/>
            <w:shd w:val="clear" w:color="auto" w:fill="FFFFFF"/>
          </w:tcPr>
          <w:p>
            <w:pPr>
              <w:jc w:val="center"/>
            </w:pPr>
            <w:r>
              <w:rPr>
                <w:rFonts w:ascii="Calibri" w:hAnsi="Calibri"/>
                <w:sz w:val="20"/>
              </w:rPr>
              <w:t>Évaluation et comparaison multi-modèles (métriques + overfitting)</w:t>
            </w:r>
          </w:p>
        </w:tc>
      </w:tr>
    </w:tbl>
    <w:p/>
    <w:p>
      <w:r>
        <w:br w:type="page"/>
      </w:r>
    </w:p>
    <w:p>
      <w:pPr>
        <w:pStyle w:val="Heading1"/>
        <w:jc w:val="left"/>
      </w:pPr>
      <w:r>
        <w:rPr>
          <w:rFonts w:ascii="Calibri" w:hAnsi="Calibri"/>
          <w:color w:val="1E3A5F"/>
        </w:rPr>
        <w:t>2. Dataset et Analyse Exploratoire (EDA)</w:t>
      </w:r>
    </w:p>
    <w:p>
      <w:pPr>
        <w:pStyle w:val="Heading2"/>
        <w:jc w:val="left"/>
      </w:pPr>
      <w:r>
        <w:rPr>
          <w:rFonts w:ascii="Calibri" w:hAnsi="Calibri"/>
          <w:color w:val="2563EB"/>
        </w:rPr>
        <w:t>2.1 Présentation du dataset</w:t>
      </w:r>
    </w:p>
    <w:p>
      <w:r>
        <w:t>Le dataset utilisé est le Dummy Advertising and Sales Data disponible sur Kaggle (harrimansaragih/dummy-advertising-and-sales-data). Il simule un environnement marketing réaliste avec des données synthétiques cohérentes.</w:t>
      </w:r>
    </w:p>
    <w:tbl>
      <w:tblPr>
        <w:tblStyle w:val="TableGrid"/>
        <w:tblW w:type="auto" w:w="0"/>
        <w:tblLook w:firstColumn="1" w:firstRow="1" w:lastColumn="0" w:lastRow="0" w:noHBand="0" w:noVBand="1" w:val="04A0"/>
      </w:tblPr>
      <w:tblGrid>
        <w:gridCol w:w="2185"/>
        <w:gridCol w:w="2185"/>
        <w:gridCol w:w="2185"/>
        <w:gridCol w:w="2185"/>
      </w:tblGrid>
      <w:tr>
        <w:tc>
          <w:tcPr>
            <w:tcW w:type="dxa" w:w="2185"/>
            <w:shd w:val="clear" w:color="auto" w:fill="1E3A5F"/>
          </w:tcPr>
          <w:p>
            <w:pPr>
              <w:jc w:val="center"/>
            </w:pPr>
            <w:r>
              <w:rPr>
                <w:rFonts w:ascii="Calibri" w:hAnsi="Calibri"/>
                <w:b/>
                <w:color w:val="FFFFFF"/>
                <w:sz w:val="20"/>
              </w:rPr>
              <w:t>Variable</w:t>
            </w:r>
          </w:p>
        </w:tc>
        <w:tc>
          <w:tcPr>
            <w:tcW w:type="dxa" w:w="2185"/>
            <w:shd w:val="clear" w:color="auto" w:fill="1E3A5F"/>
          </w:tcPr>
          <w:p>
            <w:pPr>
              <w:jc w:val="center"/>
            </w:pPr>
            <w:r>
              <w:rPr>
                <w:rFonts w:ascii="Calibri" w:hAnsi="Calibri"/>
                <w:b/>
                <w:color w:val="FFFFFF"/>
                <w:sz w:val="20"/>
              </w:rPr>
              <w:t>Type</w:t>
            </w:r>
          </w:p>
        </w:tc>
        <w:tc>
          <w:tcPr>
            <w:tcW w:type="dxa" w:w="2185"/>
            <w:shd w:val="clear" w:color="auto" w:fill="1E3A5F"/>
          </w:tcPr>
          <w:p>
            <w:pPr>
              <w:jc w:val="center"/>
            </w:pPr>
            <w:r>
              <w:rPr>
                <w:rFonts w:ascii="Calibri" w:hAnsi="Calibri"/>
                <w:b/>
                <w:color w:val="FFFFFF"/>
                <w:sz w:val="20"/>
              </w:rPr>
              <w:t>Description</w:t>
            </w:r>
          </w:p>
        </w:tc>
        <w:tc>
          <w:tcPr>
            <w:tcW w:type="dxa" w:w="2185"/>
            <w:shd w:val="clear" w:color="auto" w:fill="1E3A5F"/>
          </w:tcPr>
          <w:p>
            <w:pPr>
              <w:jc w:val="center"/>
            </w:pPr>
            <w:r>
              <w:rPr>
                <w:rFonts w:ascii="Calibri" w:hAnsi="Calibri"/>
                <w:b/>
                <w:color w:val="FFFFFF"/>
                <w:sz w:val="20"/>
              </w:rPr>
              <w:t>Plage</w:t>
            </w:r>
          </w:p>
        </w:tc>
      </w:tr>
      <w:tr>
        <w:tc>
          <w:tcPr>
            <w:tcW w:type="dxa" w:w="2185"/>
            <w:shd w:val="clear" w:color="auto" w:fill="F1F5F9"/>
          </w:tcPr>
          <w:p>
            <w:pPr>
              <w:jc w:val="center"/>
            </w:pPr>
            <w:r>
              <w:rPr>
                <w:rFonts w:ascii="Calibri" w:hAnsi="Calibri"/>
                <w:b/>
                <w:color w:val="10B981"/>
                <w:sz w:val="20"/>
              </w:rPr>
              <w:t>TV</w:t>
            </w:r>
          </w:p>
        </w:tc>
        <w:tc>
          <w:tcPr>
            <w:tcW w:type="dxa" w:w="2185"/>
            <w:shd w:val="clear" w:color="auto" w:fill="F1F5F9"/>
          </w:tcPr>
          <w:p>
            <w:pPr>
              <w:jc w:val="center"/>
            </w:pPr>
            <w:r>
              <w:rPr>
                <w:rFonts w:ascii="Calibri" w:hAnsi="Calibri"/>
                <w:b/>
                <w:color w:val="10B981"/>
                <w:sz w:val="20"/>
              </w:rPr>
              <w:t>float</w:t>
            </w:r>
          </w:p>
        </w:tc>
        <w:tc>
          <w:tcPr>
            <w:tcW w:type="dxa" w:w="2185"/>
            <w:shd w:val="clear" w:color="auto" w:fill="F1F5F9"/>
          </w:tcPr>
          <w:p>
            <w:pPr>
              <w:jc w:val="center"/>
            </w:pPr>
            <w:r>
              <w:rPr>
                <w:rFonts w:ascii="Calibri" w:hAnsi="Calibri"/>
                <w:b/>
                <w:color w:val="10B981"/>
                <w:sz w:val="20"/>
              </w:rPr>
              <w:t>Budget télévision (millions $)</w:t>
            </w:r>
          </w:p>
        </w:tc>
        <w:tc>
          <w:tcPr>
            <w:tcW w:type="dxa" w:w="2185"/>
            <w:shd w:val="clear" w:color="auto" w:fill="F1F5F9"/>
          </w:tcPr>
          <w:p>
            <w:pPr>
              <w:jc w:val="center"/>
            </w:pPr>
            <w:r>
              <w:rPr>
                <w:rFonts w:ascii="Calibri" w:hAnsi="Calibri"/>
                <w:b/>
                <w:color w:val="10B981"/>
                <w:sz w:val="20"/>
              </w:rPr>
              <w:t>0 — ~296 M$</w:t>
            </w:r>
          </w:p>
        </w:tc>
      </w:tr>
      <w:tr>
        <w:tc>
          <w:tcPr>
            <w:tcW w:type="dxa" w:w="2185"/>
            <w:shd w:val="clear" w:color="auto" w:fill="FFFFFF"/>
          </w:tcPr>
          <w:p>
            <w:pPr>
              <w:jc w:val="center"/>
            </w:pPr>
            <w:r>
              <w:rPr>
                <w:rFonts w:ascii="Calibri" w:hAnsi="Calibri"/>
                <w:sz w:val="20"/>
              </w:rPr>
              <w:t>Radio</w:t>
            </w:r>
          </w:p>
        </w:tc>
        <w:tc>
          <w:tcPr>
            <w:tcW w:type="dxa" w:w="2185"/>
            <w:shd w:val="clear" w:color="auto" w:fill="FFFFFF"/>
          </w:tcPr>
          <w:p>
            <w:pPr>
              <w:jc w:val="center"/>
            </w:pPr>
            <w:r>
              <w:rPr>
                <w:rFonts w:ascii="Calibri" w:hAnsi="Calibri"/>
                <w:sz w:val="20"/>
              </w:rPr>
              <w:t>float</w:t>
            </w:r>
          </w:p>
        </w:tc>
        <w:tc>
          <w:tcPr>
            <w:tcW w:type="dxa" w:w="2185"/>
            <w:shd w:val="clear" w:color="auto" w:fill="FFFFFF"/>
          </w:tcPr>
          <w:p>
            <w:pPr>
              <w:jc w:val="center"/>
            </w:pPr>
            <w:r>
              <w:rPr>
                <w:rFonts w:ascii="Calibri" w:hAnsi="Calibri"/>
                <w:sz w:val="20"/>
              </w:rPr>
              <w:t>Budget radio (millions $)</w:t>
            </w:r>
          </w:p>
        </w:tc>
        <w:tc>
          <w:tcPr>
            <w:tcW w:type="dxa" w:w="2185"/>
            <w:shd w:val="clear" w:color="auto" w:fill="FFFFFF"/>
          </w:tcPr>
          <w:p>
            <w:pPr>
              <w:jc w:val="center"/>
            </w:pPr>
            <w:r>
              <w:rPr>
                <w:rFonts w:ascii="Calibri" w:hAnsi="Calibri"/>
                <w:sz w:val="20"/>
              </w:rPr>
              <w:t>0 — ~50 M$</w:t>
            </w:r>
          </w:p>
        </w:tc>
      </w:tr>
      <w:tr>
        <w:tc>
          <w:tcPr>
            <w:tcW w:type="dxa" w:w="2185"/>
            <w:shd w:val="clear" w:color="auto" w:fill="F1F5F9"/>
          </w:tcPr>
          <w:p>
            <w:pPr>
              <w:jc w:val="center"/>
            </w:pPr>
            <w:r>
              <w:rPr>
                <w:rFonts w:ascii="Calibri" w:hAnsi="Calibri"/>
                <w:sz w:val="20"/>
              </w:rPr>
              <w:t>Social Media</w:t>
            </w:r>
          </w:p>
        </w:tc>
        <w:tc>
          <w:tcPr>
            <w:tcW w:type="dxa" w:w="2185"/>
            <w:shd w:val="clear" w:color="auto" w:fill="F1F5F9"/>
          </w:tcPr>
          <w:p>
            <w:pPr>
              <w:jc w:val="center"/>
            </w:pPr>
            <w:r>
              <w:rPr>
                <w:rFonts w:ascii="Calibri" w:hAnsi="Calibri"/>
                <w:sz w:val="20"/>
              </w:rPr>
              <w:t>float</w:t>
            </w:r>
          </w:p>
        </w:tc>
        <w:tc>
          <w:tcPr>
            <w:tcW w:type="dxa" w:w="2185"/>
            <w:shd w:val="clear" w:color="auto" w:fill="F1F5F9"/>
          </w:tcPr>
          <w:p>
            <w:pPr>
              <w:jc w:val="center"/>
            </w:pPr>
            <w:r>
              <w:rPr>
                <w:rFonts w:ascii="Calibri" w:hAnsi="Calibri"/>
                <w:sz w:val="20"/>
              </w:rPr>
              <w:t>Budget social media (millions $)</w:t>
            </w:r>
          </w:p>
        </w:tc>
        <w:tc>
          <w:tcPr>
            <w:tcW w:type="dxa" w:w="2185"/>
            <w:shd w:val="clear" w:color="auto" w:fill="F1F5F9"/>
          </w:tcPr>
          <w:p>
            <w:pPr>
              <w:jc w:val="center"/>
            </w:pPr>
            <w:r>
              <w:rPr>
                <w:rFonts w:ascii="Calibri" w:hAnsi="Calibri"/>
                <w:sz w:val="20"/>
              </w:rPr>
              <w:t>0 — ~175 M$</w:t>
            </w:r>
          </w:p>
        </w:tc>
      </w:tr>
      <w:tr>
        <w:tc>
          <w:tcPr>
            <w:tcW w:type="dxa" w:w="2185"/>
            <w:shd w:val="clear" w:color="auto" w:fill="FFFFFF"/>
          </w:tcPr>
          <w:p>
            <w:pPr>
              <w:jc w:val="center"/>
            </w:pPr>
            <w:r>
              <w:rPr>
                <w:rFonts w:ascii="Calibri" w:hAnsi="Calibri"/>
                <w:sz w:val="20"/>
              </w:rPr>
              <w:t>Influencer</w:t>
            </w:r>
          </w:p>
        </w:tc>
        <w:tc>
          <w:tcPr>
            <w:tcW w:type="dxa" w:w="2185"/>
            <w:shd w:val="clear" w:color="auto" w:fill="FFFFFF"/>
          </w:tcPr>
          <w:p>
            <w:pPr>
              <w:jc w:val="center"/>
            </w:pPr>
            <w:r>
              <w:rPr>
                <w:rFonts w:ascii="Calibri" w:hAnsi="Calibri"/>
                <w:sz w:val="20"/>
              </w:rPr>
              <w:t>string</w:t>
            </w:r>
          </w:p>
        </w:tc>
        <w:tc>
          <w:tcPr>
            <w:tcW w:type="dxa" w:w="2185"/>
            <w:shd w:val="clear" w:color="auto" w:fill="FFFFFF"/>
          </w:tcPr>
          <w:p>
            <w:pPr>
              <w:jc w:val="center"/>
            </w:pPr>
            <w:r>
              <w:rPr>
                <w:rFonts w:ascii="Calibri" w:hAnsi="Calibri"/>
                <w:sz w:val="20"/>
              </w:rPr>
              <w:t>Type : Nano / Micro / Macro / Mega</w:t>
            </w:r>
          </w:p>
        </w:tc>
        <w:tc>
          <w:tcPr>
            <w:tcW w:type="dxa" w:w="2185"/>
            <w:shd w:val="clear" w:color="auto" w:fill="FFFFFF"/>
          </w:tcPr>
          <w:p>
            <w:pPr>
              <w:jc w:val="center"/>
            </w:pPr>
            <w:r>
              <w:rPr>
                <w:rFonts w:ascii="Calibri" w:hAnsi="Calibri"/>
                <w:sz w:val="20"/>
              </w:rPr>
              <w:t>4 catégories</w:t>
            </w:r>
          </w:p>
        </w:tc>
      </w:tr>
      <w:tr>
        <w:tc>
          <w:tcPr>
            <w:tcW w:type="dxa" w:w="2185"/>
            <w:shd w:val="clear" w:color="auto" w:fill="F1F5F9"/>
          </w:tcPr>
          <w:p>
            <w:pPr>
              <w:jc w:val="center"/>
            </w:pPr>
            <w:r>
              <w:rPr>
                <w:rFonts w:ascii="Calibri" w:hAnsi="Calibri"/>
                <w:sz w:val="20"/>
              </w:rPr>
              <w:t>Sales (cible)</w:t>
            </w:r>
          </w:p>
        </w:tc>
        <w:tc>
          <w:tcPr>
            <w:tcW w:type="dxa" w:w="2185"/>
            <w:shd w:val="clear" w:color="auto" w:fill="F1F5F9"/>
          </w:tcPr>
          <w:p>
            <w:pPr>
              <w:jc w:val="center"/>
            </w:pPr>
            <w:r>
              <w:rPr>
                <w:rFonts w:ascii="Calibri" w:hAnsi="Calibri"/>
                <w:sz w:val="20"/>
              </w:rPr>
              <w:t>float</w:t>
            </w:r>
          </w:p>
        </w:tc>
        <w:tc>
          <w:tcPr>
            <w:tcW w:type="dxa" w:w="2185"/>
            <w:shd w:val="clear" w:color="auto" w:fill="F1F5F9"/>
          </w:tcPr>
          <w:p>
            <w:pPr>
              <w:jc w:val="center"/>
            </w:pPr>
            <w:r>
              <w:rPr>
                <w:rFonts w:ascii="Calibri" w:hAnsi="Calibri"/>
                <w:sz w:val="20"/>
              </w:rPr>
              <w:t>Ventes générées (millions $)</w:t>
            </w:r>
          </w:p>
        </w:tc>
        <w:tc>
          <w:tcPr>
            <w:tcW w:type="dxa" w:w="2185"/>
            <w:shd w:val="clear" w:color="auto" w:fill="F1F5F9"/>
          </w:tcPr>
          <w:p>
            <w:pPr>
              <w:jc w:val="center"/>
            </w:pPr>
            <w:r>
              <w:rPr>
                <w:rFonts w:ascii="Calibri" w:hAnsi="Calibri"/>
                <w:sz w:val="20"/>
              </w:rPr>
              <w:t>~0 — ~483 M$</w:t>
            </w:r>
          </w:p>
        </w:tc>
      </w:tr>
    </w:tbl>
    <w:p/>
    <w:p>
      <w:pPr>
        <w:pStyle w:val="Heading2"/>
        <w:jc w:val="left"/>
      </w:pPr>
      <w:r>
        <w:rPr>
          <w:rFonts w:ascii="Calibri" w:hAnsi="Calibri"/>
          <w:color w:val="2563EB"/>
        </w:rPr>
        <w:t>2.2 Valeurs manquantes et qualité</w:t>
      </w:r>
    </w:p>
    <w:p>
      <w:r>
        <w:t>L'analyse des valeurs manquantes révèle un taux inférieur à 5% uniquement sur la variable TV. Aucun doublon n'a été détecté. Les distributions sont légèrement asymétriques à droite pour TV (skewness positif), ce qui justifie l'imputation par la médiane plutôt que par la moyenne.</w:t>
      </w:r>
    </w:p>
    <w:p>
      <w:pPr>
        <w:jc w:val="center"/>
      </w:pPr>
      <w:r>
        <w:drawing>
          <wp:inline xmlns:a="http://schemas.openxmlformats.org/drawingml/2006/main" xmlns:pic="http://schemas.openxmlformats.org/drawingml/2006/picture">
            <wp:extent cx="4114800" cy="2057400"/>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4114800" cy="2057400"/>
                    </a:xfrm>
                    <a:prstGeom prst="rect"/>
                  </pic:spPr>
                </pic:pic>
              </a:graphicData>
            </a:graphic>
          </wp:inline>
        </w:drawing>
      </w:r>
    </w:p>
    <w:p>
      <w:pPr>
        <w:jc w:val="center"/>
      </w:pPr>
      <w:r>
        <w:t>Figure 1 — Valeurs manquantes par colonne</w:t>
      </w:r>
    </w:p>
    <w:p>
      <w:pPr>
        <w:pStyle w:val="Heading2"/>
        <w:jc w:val="left"/>
      </w:pPr>
      <w:r>
        <w:rPr>
          <w:rFonts w:ascii="Calibri" w:hAnsi="Calibri"/>
          <w:color w:val="2563EB"/>
        </w:rPr>
        <w:t>2.3 Distribution de la variable cible</w:t>
      </w:r>
    </w:p>
    <w:p>
      <w:r>
        <w:t>La variable cible Sales présente une distribution bi-modale légère avec une concentration entre 0 et 100 M$ et quelques valeurs élevées jusqu'à 483 M$. La médiane (≈ 12 M$) est proche de la moyenne, indiquant une distribution relativement symétrique sans distorsion majeure.</w:t>
      </w:r>
    </w:p>
    <w:p>
      <w:pPr>
        <w:jc w:val="center"/>
      </w:pPr>
      <w:r>
        <w:drawing>
          <wp:inline xmlns:a="http://schemas.openxmlformats.org/drawingml/2006/main" xmlns:pic="http://schemas.openxmlformats.org/drawingml/2006/picture">
            <wp:extent cx="4572000" cy="1632857"/>
            <wp:docPr id="2" name="Picture 2"/>
            <wp:cNvGraphicFramePr>
              <a:graphicFrameLocks noChangeAspect="1"/>
            </wp:cNvGraphicFramePr>
            <a:graphic>
              <a:graphicData uri="http://schemas.openxmlformats.org/drawingml/2006/picture">
                <pic:pic>
                  <pic:nvPicPr>
                    <pic:cNvPr id="0" name="02_sales_distribution.png"/>
                    <pic:cNvPicPr/>
                  </pic:nvPicPr>
                  <pic:blipFill>
                    <a:blip r:embed="rId10"/>
                    <a:stretch>
                      <a:fillRect/>
                    </a:stretch>
                  </pic:blipFill>
                  <pic:spPr>
                    <a:xfrm>
                      <a:off x="0" y="0"/>
                      <a:ext cx="4572000" cy="1632857"/>
                    </a:xfrm>
                    <a:prstGeom prst="rect"/>
                  </pic:spPr>
                </pic:pic>
              </a:graphicData>
            </a:graphic>
          </wp:inline>
        </w:drawing>
      </w:r>
    </w:p>
    <w:p>
      <w:pPr>
        <w:jc w:val="center"/>
      </w:pPr>
      <w:r>
        <w:t>Figure 2 — Distribution de Sales (histogramme + boxplot)</w:t>
      </w:r>
    </w:p>
    <w:p>
      <w:pPr>
        <w:pStyle w:val="Heading2"/>
        <w:jc w:val="left"/>
      </w:pPr>
      <w:r>
        <w:rPr>
          <w:rFonts w:ascii="Calibri" w:hAnsi="Calibri"/>
          <w:color w:val="2563EB"/>
        </w:rPr>
        <w:t>2.4 Relations bivariées et corrélations</w:t>
      </w:r>
    </w:p>
    <w:p>
      <w:pPr>
        <w:spacing w:before="80" w:after="80"/>
        <w:ind w:left="216" w:right="216"/>
        <w:jc w:val="left"/>
        <w:shd w:val="clear" w:color="auto" w:fill="D1FAE5"/>
      </w:pPr>
      <w:r>
        <w:rPr>
          <w:rFonts w:ascii="Calibri" w:hAnsi="Calibri"/>
          <w:color w:val="065F46"/>
          <w:sz w:val="21"/>
        </w:rPr>
        <w:t>RÉSULTAT CLEF — Corrélation TV-Sales = 0.999 (quasi-parfaite). Ce signal est exceptionnellement fort et suggère une relation quasi-linéaire entre le budget TV et les ventes. Radio présente une corrélation de 0.87, Social Media de 0.67. Le type d'Influencer a un impact marginal non significatif.</w:t>
      </w:r>
    </w:p>
    <w:p>
      <w:pPr>
        <w:jc w:val="center"/>
      </w:pPr>
      <w:r>
        <w:drawing>
          <wp:inline xmlns:a="http://schemas.openxmlformats.org/drawingml/2006/main" xmlns:pic="http://schemas.openxmlformats.org/drawingml/2006/picture">
            <wp:extent cx="5029200" cy="1397000"/>
            <wp:docPr id="3" name="Picture 3"/>
            <wp:cNvGraphicFramePr>
              <a:graphicFrameLocks noChangeAspect="1"/>
            </wp:cNvGraphicFramePr>
            <a:graphic>
              <a:graphicData uri="http://schemas.openxmlformats.org/drawingml/2006/picture">
                <pic:pic>
                  <pic:nvPicPr>
                    <pic:cNvPr id="0" name="05_budgets_vs_sales.png"/>
                    <pic:cNvPicPr/>
                  </pic:nvPicPr>
                  <pic:blipFill>
                    <a:blip r:embed="rId11"/>
                    <a:stretch>
                      <a:fillRect/>
                    </a:stretch>
                  </pic:blipFill>
                  <pic:spPr>
                    <a:xfrm>
                      <a:off x="0" y="0"/>
                      <a:ext cx="5029200" cy="1397000"/>
                    </a:xfrm>
                    <a:prstGeom prst="rect"/>
                  </pic:spPr>
                </pic:pic>
              </a:graphicData>
            </a:graphic>
          </wp:inline>
        </w:drawing>
      </w:r>
    </w:p>
    <w:p>
      <w:pPr>
        <w:jc w:val="center"/>
      </w:pPr>
      <w:r>
        <w:t>Figure 3 — Scatter plots Budget vs Sales (avec droite de régression)</w:t>
      </w:r>
    </w:p>
    <w:p>
      <w:pPr>
        <w:jc w:val="center"/>
      </w:pPr>
      <w:r>
        <w:drawing>
          <wp:inline xmlns:a="http://schemas.openxmlformats.org/drawingml/2006/main" xmlns:pic="http://schemas.openxmlformats.org/drawingml/2006/picture">
            <wp:extent cx="3657600" cy="2743200"/>
            <wp:docPr id="4" name="Picture 4"/>
            <wp:cNvGraphicFramePr>
              <a:graphicFrameLocks noChangeAspect="1"/>
            </wp:cNvGraphicFramePr>
            <a:graphic>
              <a:graphicData uri="http://schemas.openxmlformats.org/drawingml/2006/picture">
                <pic:pic>
                  <pic:nvPicPr>
                    <pic:cNvPr id="0" name="07_correlation_matrix.png"/>
                    <pic:cNvPicPr/>
                  </pic:nvPicPr>
                  <pic:blipFill>
                    <a:blip r:embed="rId12"/>
                    <a:stretch>
                      <a:fillRect/>
                    </a:stretch>
                  </pic:blipFill>
                  <pic:spPr>
                    <a:xfrm>
                      <a:off x="0" y="0"/>
                      <a:ext cx="3657600" cy="2743200"/>
                    </a:xfrm>
                    <a:prstGeom prst="rect"/>
                  </pic:spPr>
                </pic:pic>
              </a:graphicData>
            </a:graphic>
          </wp:inline>
        </w:drawing>
      </w:r>
    </w:p>
    <w:p>
      <w:pPr>
        <w:jc w:val="center"/>
      </w:pPr>
      <w:r>
        <w:t>Figure 4 — Matrice de corrélation (Pearson)</w:t>
      </w:r>
    </w:p>
    <w:p>
      <w:pPr>
        <w:pStyle w:val="Heading2"/>
        <w:jc w:val="left"/>
      </w:pPr>
      <w:r>
        <w:rPr>
          <w:rFonts w:ascii="Calibri" w:hAnsi="Calibri"/>
          <w:color w:val="2563EB"/>
        </w:rPr>
        <w:t>2.5 Impact du type d'Influencer</w:t>
      </w:r>
    </w:p>
    <w:p>
      <w:r>
        <w:t>L'analyse des ventes moyennes par type d'influenceur (Nano, Micro, Macro, Mega) ne révèle aucune différence statistiquement significative. Ce résultat, confirmé ultérieurement par SHAP (0.13% d'importance), constitue un insight business majeur : les dépenses en Mega influenceurs ne se justifient pas par leur impact sur les ventes.</w:t>
      </w:r>
    </w:p>
    <w:p>
      <w:pPr>
        <w:jc w:val="center"/>
      </w:pPr>
      <w:r>
        <w:drawing>
          <wp:inline xmlns:a="http://schemas.openxmlformats.org/drawingml/2006/main" xmlns:pic="http://schemas.openxmlformats.org/drawingml/2006/picture">
            <wp:extent cx="4572000" cy="1632857"/>
            <wp:docPr id="5" name="Picture 5"/>
            <wp:cNvGraphicFramePr>
              <a:graphicFrameLocks noChangeAspect="1"/>
            </wp:cNvGraphicFramePr>
            <a:graphic>
              <a:graphicData uri="http://schemas.openxmlformats.org/drawingml/2006/picture">
                <pic:pic>
                  <pic:nvPicPr>
                    <pic:cNvPr id="0" name="06_influencer_vs_sales.png"/>
                    <pic:cNvPicPr/>
                  </pic:nvPicPr>
                  <pic:blipFill>
                    <a:blip r:embed="rId13"/>
                    <a:stretch>
                      <a:fillRect/>
                    </a:stretch>
                  </pic:blipFill>
                  <pic:spPr>
                    <a:xfrm>
                      <a:off x="0" y="0"/>
                      <a:ext cx="4572000" cy="1632857"/>
                    </a:xfrm>
                    <a:prstGeom prst="rect"/>
                  </pic:spPr>
                </pic:pic>
              </a:graphicData>
            </a:graphic>
          </wp:inline>
        </w:drawing>
      </w:r>
    </w:p>
    <w:p>
      <w:pPr>
        <w:jc w:val="center"/>
      </w:pPr>
      <w:r>
        <w:t>Figure 5 — Distribution Sales par type d'Influencer</w:t>
      </w:r>
    </w:p>
    <w:p>
      <w:r>
        <w:br w:type="page"/>
      </w:r>
    </w:p>
    <w:p>
      <w:pPr>
        <w:pStyle w:val="Heading1"/>
        <w:jc w:val="left"/>
      </w:pPr>
      <w:r>
        <w:rPr>
          <w:rFonts w:ascii="Calibri" w:hAnsi="Calibri"/>
          <w:color w:val="1E3A5F"/>
        </w:rPr>
        <w:t>3. Pipeline de Preprocessing</w:t>
      </w:r>
    </w:p>
    <w:p>
      <w:pPr>
        <w:pStyle w:val="Heading2"/>
        <w:jc w:val="left"/>
      </w:pPr>
      <w:r>
        <w:rPr>
          <w:rFonts w:ascii="Calibri" w:hAnsi="Calibri"/>
          <w:color w:val="2563EB"/>
        </w:rPr>
        <w:t>3.1 Principe d'anti data leakage</w:t>
      </w:r>
    </w:p>
    <w:p>
      <w:pPr>
        <w:spacing w:before="80" w:after="80"/>
        <w:ind w:left="216" w:right="216"/>
        <w:jc w:val="left"/>
        <w:shd w:val="clear" w:color="auto" w:fill="FEF3C7"/>
      </w:pPr>
      <w:r>
        <w:rPr>
          <w:rFonts w:ascii="Calibri" w:hAnsi="Calibri"/>
          <w:color w:val="783500"/>
          <w:sz w:val="21"/>
        </w:rPr>
        <w:t>PRINCIPE FONDAMENTAL : le preprocessor (imputation, scaling, encodage) est FIT UNIQUEMENT sur le train set et appliqué en transform sur le test set. Les pipelines sklearn garantissent ce principe même pendant la cross-validation (le preprocessing est refit à chaque fold sur les seules données train du fold).</w:t>
      </w:r>
    </w:p>
    <w:p>
      <w:pPr>
        <w:pStyle w:val="Heading2"/>
        <w:jc w:val="left"/>
      </w:pPr>
      <w:r>
        <w:rPr>
          <w:rFonts w:ascii="Calibri" w:hAnsi="Calibri"/>
          <w:color w:val="2563EB"/>
        </w:rPr>
        <w:t>3.2 Architecture du pipeline</w:t>
      </w:r>
    </w:p>
    <w:tbl>
      <w:tblPr>
        <w:tblStyle w:val="TableGrid"/>
        <w:tblW w:type="auto" w:w="0"/>
        <w:tblLook w:firstColumn="1" w:firstRow="1" w:lastColumn="0" w:lastRow="0" w:noHBand="0" w:noVBand="1" w:val="04A0"/>
      </w:tblPr>
      <w:tblGrid>
        <w:gridCol w:w="2185"/>
        <w:gridCol w:w="2185"/>
        <w:gridCol w:w="2185"/>
        <w:gridCol w:w="2185"/>
      </w:tblGrid>
      <w:tr>
        <w:tc>
          <w:tcPr>
            <w:tcW w:type="dxa" w:w="2185"/>
            <w:shd w:val="clear" w:color="auto" w:fill="1E3A5F"/>
          </w:tcPr>
          <w:p>
            <w:pPr>
              <w:jc w:val="center"/>
            </w:pPr>
            <w:r>
              <w:rPr>
                <w:rFonts w:ascii="Calibri" w:hAnsi="Calibri"/>
                <w:b/>
                <w:color w:val="FFFFFF"/>
                <w:sz w:val="20"/>
              </w:rPr>
              <w:t>Étape</w:t>
            </w:r>
          </w:p>
        </w:tc>
        <w:tc>
          <w:tcPr>
            <w:tcW w:type="dxa" w:w="2185"/>
            <w:shd w:val="clear" w:color="auto" w:fill="1E3A5F"/>
          </w:tcPr>
          <w:p>
            <w:pPr>
              <w:jc w:val="center"/>
            </w:pPr>
            <w:r>
              <w:rPr>
                <w:rFonts w:ascii="Calibri" w:hAnsi="Calibri"/>
                <w:b/>
                <w:color w:val="FFFFFF"/>
                <w:sz w:val="20"/>
              </w:rPr>
              <w:t>Variables</w:t>
            </w:r>
          </w:p>
        </w:tc>
        <w:tc>
          <w:tcPr>
            <w:tcW w:type="dxa" w:w="2185"/>
            <w:shd w:val="clear" w:color="auto" w:fill="1E3A5F"/>
          </w:tcPr>
          <w:p>
            <w:pPr>
              <w:jc w:val="center"/>
            </w:pPr>
            <w:r>
              <w:rPr>
                <w:rFonts w:ascii="Calibri" w:hAnsi="Calibri"/>
                <w:b/>
                <w:color w:val="FFFFFF"/>
                <w:sz w:val="20"/>
              </w:rPr>
              <w:t>Transformation</w:t>
            </w:r>
          </w:p>
        </w:tc>
        <w:tc>
          <w:tcPr>
            <w:tcW w:type="dxa" w:w="2185"/>
            <w:shd w:val="clear" w:color="auto" w:fill="1E3A5F"/>
          </w:tcPr>
          <w:p>
            <w:pPr>
              <w:jc w:val="center"/>
            </w:pPr>
            <w:r>
              <w:rPr>
                <w:rFonts w:ascii="Calibri" w:hAnsi="Calibri"/>
                <w:b/>
                <w:color w:val="FFFFFF"/>
                <w:sz w:val="20"/>
              </w:rPr>
              <w:t>Justification</w:t>
            </w:r>
          </w:p>
        </w:tc>
      </w:tr>
      <w:tr>
        <w:tc>
          <w:tcPr>
            <w:tcW w:type="dxa" w:w="2185"/>
            <w:shd w:val="clear" w:color="auto" w:fill="F1F5F9"/>
          </w:tcPr>
          <w:p>
            <w:pPr>
              <w:jc w:val="center"/>
            </w:pPr>
            <w:r>
              <w:rPr>
                <w:rFonts w:ascii="Calibri" w:hAnsi="Calibri"/>
                <w:b/>
                <w:color w:val="10B981"/>
                <w:sz w:val="20"/>
              </w:rPr>
              <w:t>1 — Imputation</w:t>
            </w:r>
          </w:p>
        </w:tc>
        <w:tc>
          <w:tcPr>
            <w:tcW w:type="dxa" w:w="2185"/>
            <w:shd w:val="clear" w:color="auto" w:fill="F1F5F9"/>
          </w:tcPr>
          <w:p>
            <w:pPr>
              <w:jc w:val="center"/>
            </w:pPr>
            <w:r>
              <w:rPr>
                <w:rFonts w:ascii="Calibri" w:hAnsi="Calibri"/>
                <w:b/>
                <w:color w:val="10B981"/>
                <w:sz w:val="20"/>
              </w:rPr>
              <w:t>TV, Radio, Social Media</w:t>
            </w:r>
          </w:p>
        </w:tc>
        <w:tc>
          <w:tcPr>
            <w:tcW w:type="dxa" w:w="2185"/>
            <w:shd w:val="clear" w:color="auto" w:fill="F1F5F9"/>
          </w:tcPr>
          <w:p>
            <w:pPr>
              <w:jc w:val="center"/>
            </w:pPr>
            <w:r>
              <w:rPr>
                <w:rFonts w:ascii="Calibri" w:hAnsi="Calibri"/>
                <w:b/>
                <w:color w:val="10B981"/>
                <w:sz w:val="20"/>
              </w:rPr>
              <w:t>SimpleImputer(strategy='median')</w:t>
            </w:r>
          </w:p>
        </w:tc>
        <w:tc>
          <w:tcPr>
            <w:tcW w:type="dxa" w:w="2185"/>
            <w:shd w:val="clear" w:color="auto" w:fill="F1F5F9"/>
          </w:tcPr>
          <w:p>
            <w:pPr>
              <w:jc w:val="center"/>
            </w:pPr>
            <w:r>
              <w:rPr>
                <w:rFonts w:ascii="Calibri" w:hAnsi="Calibri"/>
                <w:b/>
                <w:color w:val="10B981"/>
                <w:sz w:val="20"/>
              </w:rPr>
              <w:t>Robuste aux outliers (mieux que mean)</w:t>
            </w:r>
          </w:p>
        </w:tc>
      </w:tr>
      <w:tr>
        <w:tc>
          <w:tcPr>
            <w:tcW w:type="dxa" w:w="2185"/>
            <w:shd w:val="clear" w:color="auto" w:fill="FFFFFF"/>
          </w:tcPr>
          <w:p>
            <w:pPr>
              <w:jc w:val="center"/>
            </w:pPr>
            <w:r>
              <w:rPr>
                <w:rFonts w:ascii="Calibri" w:hAnsi="Calibri"/>
                <w:sz w:val="20"/>
              </w:rPr>
              <w:t>2 — Standardisation</w:t>
            </w:r>
          </w:p>
        </w:tc>
        <w:tc>
          <w:tcPr>
            <w:tcW w:type="dxa" w:w="2185"/>
            <w:shd w:val="clear" w:color="auto" w:fill="FFFFFF"/>
          </w:tcPr>
          <w:p>
            <w:pPr>
              <w:jc w:val="center"/>
            </w:pPr>
            <w:r>
              <w:rPr>
                <w:rFonts w:ascii="Calibri" w:hAnsi="Calibri"/>
                <w:sz w:val="20"/>
              </w:rPr>
              <w:t>TV, Radio, Social Media</w:t>
            </w:r>
          </w:p>
        </w:tc>
        <w:tc>
          <w:tcPr>
            <w:tcW w:type="dxa" w:w="2185"/>
            <w:shd w:val="clear" w:color="auto" w:fill="FFFFFF"/>
          </w:tcPr>
          <w:p>
            <w:pPr>
              <w:jc w:val="center"/>
            </w:pPr>
            <w:r>
              <w:rPr>
                <w:rFonts w:ascii="Calibri" w:hAnsi="Calibri"/>
                <w:sz w:val="20"/>
              </w:rPr>
              <w:t>StandardScaler</w:t>
            </w:r>
          </w:p>
        </w:tc>
        <w:tc>
          <w:tcPr>
            <w:tcW w:type="dxa" w:w="2185"/>
            <w:shd w:val="clear" w:color="auto" w:fill="FFFFFF"/>
          </w:tcPr>
          <w:p>
            <w:pPr>
              <w:jc w:val="center"/>
            </w:pPr>
            <w:r>
              <w:rPr>
                <w:rFonts w:ascii="Calibri" w:hAnsi="Calibri"/>
                <w:sz w:val="20"/>
              </w:rPr>
              <w:t>Requis pour Régression Linéaire et MLP</w:t>
            </w:r>
          </w:p>
        </w:tc>
      </w:tr>
      <w:tr>
        <w:tc>
          <w:tcPr>
            <w:tcW w:type="dxa" w:w="2185"/>
            <w:shd w:val="clear" w:color="auto" w:fill="F1F5F9"/>
          </w:tcPr>
          <w:p>
            <w:pPr>
              <w:jc w:val="center"/>
            </w:pPr>
            <w:r>
              <w:rPr>
                <w:rFonts w:ascii="Calibri" w:hAnsi="Calibri"/>
                <w:sz w:val="20"/>
              </w:rPr>
              <w:t>3 — Encodage</w:t>
            </w:r>
          </w:p>
        </w:tc>
        <w:tc>
          <w:tcPr>
            <w:tcW w:type="dxa" w:w="2185"/>
            <w:shd w:val="clear" w:color="auto" w:fill="F1F5F9"/>
          </w:tcPr>
          <w:p>
            <w:pPr>
              <w:jc w:val="center"/>
            </w:pPr>
            <w:r>
              <w:rPr>
                <w:rFonts w:ascii="Calibri" w:hAnsi="Calibri"/>
                <w:sz w:val="20"/>
              </w:rPr>
              <w:t>Influencer</w:t>
            </w:r>
          </w:p>
        </w:tc>
        <w:tc>
          <w:tcPr>
            <w:tcW w:type="dxa" w:w="2185"/>
            <w:shd w:val="clear" w:color="auto" w:fill="F1F5F9"/>
          </w:tcPr>
          <w:p>
            <w:pPr>
              <w:jc w:val="center"/>
            </w:pPr>
            <w:r>
              <w:rPr>
                <w:rFonts w:ascii="Calibri" w:hAnsi="Calibri"/>
                <w:sz w:val="20"/>
              </w:rPr>
              <w:t>OneHotEncoder (4 catégories)</w:t>
            </w:r>
          </w:p>
        </w:tc>
        <w:tc>
          <w:tcPr>
            <w:tcW w:type="dxa" w:w="2185"/>
            <w:shd w:val="clear" w:color="auto" w:fill="F1F5F9"/>
          </w:tcPr>
          <w:p>
            <w:pPr>
              <w:jc w:val="center"/>
            </w:pPr>
            <w:r>
              <w:rPr>
                <w:rFonts w:ascii="Calibri" w:hAnsi="Calibri"/>
                <w:sz w:val="20"/>
              </w:rPr>
              <w:t>Variable nominale, pas d'ordre ordinal strict</w:t>
            </w:r>
          </w:p>
        </w:tc>
      </w:tr>
      <w:tr>
        <w:tc>
          <w:tcPr>
            <w:tcW w:type="dxa" w:w="2185"/>
            <w:shd w:val="clear" w:color="auto" w:fill="FFFFFF"/>
          </w:tcPr>
          <w:p>
            <w:pPr>
              <w:jc w:val="center"/>
            </w:pPr>
            <w:r>
              <w:rPr>
                <w:rFonts w:ascii="Calibri" w:hAnsi="Calibri"/>
                <w:sz w:val="20"/>
              </w:rPr>
              <w:t>4 — Split</w:t>
            </w:r>
          </w:p>
        </w:tc>
        <w:tc>
          <w:tcPr>
            <w:tcW w:type="dxa" w:w="2185"/>
            <w:shd w:val="clear" w:color="auto" w:fill="FFFFFF"/>
          </w:tcPr>
          <w:p>
            <w:pPr>
              <w:jc w:val="center"/>
            </w:pPr>
            <w:r>
              <w:rPr>
                <w:rFonts w:ascii="Calibri" w:hAnsi="Calibri"/>
                <w:sz w:val="20"/>
              </w:rPr>
              <w:t>Tout le dataset</w:t>
            </w:r>
          </w:p>
        </w:tc>
        <w:tc>
          <w:tcPr>
            <w:tcW w:type="dxa" w:w="2185"/>
            <w:shd w:val="clear" w:color="auto" w:fill="FFFFFF"/>
          </w:tcPr>
          <w:p>
            <w:pPr>
              <w:jc w:val="center"/>
            </w:pPr>
            <w:r>
              <w:rPr>
                <w:rFonts w:ascii="Calibri" w:hAnsi="Calibri"/>
                <w:sz w:val="20"/>
              </w:rPr>
              <w:t>train_test_split(80/20, seed=42)</w:t>
            </w:r>
          </w:p>
        </w:tc>
        <w:tc>
          <w:tcPr>
            <w:tcW w:type="dxa" w:w="2185"/>
            <w:shd w:val="clear" w:color="auto" w:fill="FFFFFF"/>
          </w:tcPr>
          <w:p>
            <w:pPr>
              <w:jc w:val="center"/>
            </w:pPr>
            <w:r>
              <w:rPr>
                <w:rFonts w:ascii="Calibri" w:hAnsi="Calibri"/>
                <w:sz w:val="20"/>
              </w:rPr>
              <w:t>Reproductibilité garantie</w:t>
            </w:r>
          </w:p>
        </w:tc>
      </w:tr>
    </w:tbl>
    <w:p/>
    <w:p>
      <w:pPr>
        <w:pStyle w:val="Heading2"/>
        <w:jc w:val="left"/>
      </w:pPr>
      <w:r>
        <w:rPr>
          <w:rFonts w:ascii="Calibri" w:hAnsi="Calibri"/>
          <w:color w:val="2563EB"/>
        </w:rPr>
        <w:t>3.3 Résultats du preprocessing</w:t>
      </w:r>
    </w:p>
    <w:p>
      <w:r>
        <w:t>Après transformation : 0 valeur manquante, features numériques avec mean ≈ 0 et std ≈ 1 sur le train (vérification post-transformation). Les 4 catégories Influencer sont encodées en 4 colonnes binaires. Le handle_unknown='ignore' sur l'OneHotEncoder garantit la robustesse face à des catégories inconnues en production (dashboard, API).</w:t>
      </w:r>
    </w:p>
    <w:p>
      <w:r>
        <w:br w:type="page"/>
      </w:r>
    </w:p>
    <w:p>
      <w:pPr>
        <w:pStyle w:val="Heading1"/>
        <w:jc w:val="left"/>
      </w:pPr>
      <w:r>
        <w:rPr>
          <w:rFonts w:ascii="Calibri" w:hAnsi="Calibri"/>
          <w:color w:val="1E3A5F"/>
        </w:rPr>
        <w:t>4. Modélisation multi-algorithmes</w:t>
      </w:r>
    </w:p>
    <w:p>
      <w:pPr>
        <w:pStyle w:val="Heading2"/>
        <w:jc w:val="left"/>
      </w:pPr>
      <w:r>
        <w:rPr>
          <w:rFonts w:ascii="Calibri" w:hAnsi="Calibri"/>
          <w:color w:val="2563EB"/>
        </w:rPr>
        <w:t>4.1 Stratégie de modélisation</w:t>
      </w:r>
    </w:p>
    <w:p>
      <w:r>
        <w:t>Conformément aux exigences du sujet, quatre modèles sont entraînés et comparés. Chaque modèle est encapsulé dans un sklearn Pipeline complet (preprocessor + estimator) pour garantir l'absence de data leakage même pendant la GridSearchCV. La cross-validation KFold 5-fold est utilisée (shuffle, random_state=42). La métrique de sélection principale est le RMSE (Root Mean Squared Error).</w:t>
      </w:r>
    </w:p>
    <w:p>
      <w:pPr>
        <w:pStyle w:val="Heading2"/>
        <w:jc w:val="left"/>
      </w:pPr>
      <w:r>
        <w:rPr>
          <w:rFonts w:ascii="Calibri" w:hAnsi="Calibri"/>
          <w:color w:val="2563EB"/>
        </w:rPr>
        <w:t>4.2 Les 4 modèles implémentés</w:t>
      </w:r>
    </w:p>
    <w:p>
      <w:pPr>
        <w:pStyle w:val="Heading3"/>
        <w:jc w:val="left"/>
      </w:pPr>
      <w:r>
        <w:rPr>
          <w:rFonts w:ascii="Calibri" w:hAnsi="Calibri"/>
          <w:color w:val="1E293B"/>
        </w:rPr>
        <w:t>4.2.1 Régression Linéaire (Baseline)</w:t>
      </w:r>
    </w:p>
    <w:p>
      <w:r>
        <w:t>Modèle de référence. Aucun hyperparamètre à tuner. Sert de point de comparaison pour mesurer le gain apporté par les modèles complexes. Très interprétable.</w:t>
      </w:r>
    </w:p>
    <w:p>
      <w:r>
        <w:rPr>
          <w:rFonts w:ascii="Calibri" w:hAnsi="Calibri"/>
          <w:i/>
          <w:color w:val="64748B"/>
          <w:sz w:val="20"/>
        </w:rPr>
        <w:t>Meilleurs hyperparamètres (GridSearchCV) : Aucune (modèle déterminé entièrement)</w:t>
      </w:r>
    </w:p>
    <w:p/>
    <w:p>
      <w:pPr>
        <w:pStyle w:val="Heading3"/>
        <w:jc w:val="left"/>
      </w:pPr>
      <w:r>
        <w:rPr>
          <w:rFonts w:ascii="Calibri" w:hAnsi="Calibri"/>
          <w:color w:val="1E293B"/>
        </w:rPr>
        <w:t>4.2.2 Random Forest</w:t>
      </w:r>
    </w:p>
    <w:p>
      <w:r>
        <w:t>Ensemble de 200 arbres de décision entraînés en parallèle (bagging). Capture les non-linéarités et interactions sans feature engineering. Robuste aux outliers.</w:t>
      </w:r>
    </w:p>
    <w:p>
      <w:r>
        <w:rPr>
          <w:rFonts w:ascii="Calibri" w:hAnsi="Calibri"/>
          <w:i/>
          <w:color w:val="64748B"/>
          <w:sz w:val="20"/>
        </w:rPr>
        <w:t>Meilleurs hyperparamètres (GridSearchCV) : n_estimators=200, max_depth=10, min_samples_split=2</w:t>
      </w:r>
    </w:p>
    <w:p/>
    <w:p>
      <w:pPr>
        <w:pStyle w:val="Heading3"/>
        <w:jc w:val="left"/>
      </w:pPr>
      <w:r>
        <w:rPr>
          <w:rFonts w:ascii="Calibri" w:hAnsi="Calibri"/>
          <w:color w:val="1E293B"/>
        </w:rPr>
        <w:t>4.2.3 XGBoost (Gradient Boosting)</w:t>
      </w:r>
    </w:p>
    <w:p>
      <w:r>
        <w:t>Algorithme de boosting itératif. Étatde l'art sur les données tabulaires. Gradient descent sur une fonction objectif avec régularisation intégrée. Meilleur compromis performance/vitesse.</w:t>
      </w:r>
    </w:p>
    <w:p>
      <w:r>
        <w:rPr>
          <w:rFonts w:ascii="Calibri" w:hAnsi="Calibri"/>
          <w:i/>
          <w:color w:val="64748B"/>
          <w:sz w:val="20"/>
        </w:rPr>
        <w:t>Meilleurs hyperparamètres (GridSearchCV) : n_estimators=200, max_depth=3, learning_rate=0.1</w:t>
      </w:r>
    </w:p>
    <w:p/>
    <w:p>
      <w:pPr>
        <w:pStyle w:val="Heading3"/>
        <w:jc w:val="left"/>
      </w:pPr>
      <w:r>
        <w:rPr>
          <w:rFonts w:ascii="Calibri" w:hAnsi="Calibri"/>
          <w:color w:val="1E293B"/>
        </w:rPr>
        <w:t>4.2.4 MLP — Deep Learning (sklearn)</w:t>
      </w:r>
    </w:p>
    <w:p>
      <w:r>
        <w:t>Réseau de neurones multicouches (Multi-Layer Perceptron) avec backpropagation. Architecture : input → 2 couches cachées (50, 25) → output. Early stopping activé (anti-overfitting), régularisation L2 (alpha=0.001).</w:t>
      </w:r>
    </w:p>
    <w:p>
      <w:r>
        <w:rPr>
          <w:rFonts w:ascii="Calibri" w:hAnsi="Calibri"/>
          <w:i/>
          <w:color w:val="64748B"/>
          <w:sz w:val="20"/>
        </w:rPr>
        <w:t>Meilleurs hyperparamètres (GridSearchCV) : hidden_layer_sizes=(50,25), alpha=0.001, lr_init=0.01, early_stopping=True</w:t>
      </w:r>
    </w:p>
    <w:p/>
    <w:p>
      <w:pPr>
        <w:pStyle w:val="Heading2"/>
        <w:jc w:val="left"/>
      </w:pPr>
      <w:r>
        <w:rPr>
          <w:rFonts w:ascii="Calibri" w:hAnsi="Calibri"/>
          <w:color w:val="2563EB"/>
        </w:rPr>
        <w:t>4.3 Résultats de la cross-validation (5-fold, train set)</w:t>
      </w:r>
    </w:p>
    <w:tbl>
      <w:tblPr>
        <w:tblStyle w:val="TableGrid"/>
        <w:tblW w:type="auto" w:w="0"/>
        <w:tblLook w:firstColumn="1" w:firstRow="1" w:lastColumn="0" w:lastRow="0" w:noHBand="0" w:noVBand="1" w:val="04A0"/>
      </w:tblPr>
      <w:tblGrid>
        <w:gridCol w:w="2185"/>
        <w:gridCol w:w="2185"/>
        <w:gridCol w:w="2185"/>
        <w:gridCol w:w="2185"/>
      </w:tblGrid>
      <w:tr>
        <w:tc>
          <w:tcPr>
            <w:tcW w:type="dxa" w:w="2185"/>
            <w:shd w:val="clear" w:color="auto" w:fill="1E3A5F"/>
          </w:tcPr>
          <w:p>
            <w:pPr>
              <w:jc w:val="center"/>
            </w:pPr>
            <w:r>
              <w:rPr>
                <w:rFonts w:ascii="Calibri" w:hAnsi="Calibri"/>
                <w:b/>
                <w:color w:val="FFFFFF"/>
                <w:sz w:val="20"/>
              </w:rPr>
              <w:t>Modèle</w:t>
            </w:r>
          </w:p>
        </w:tc>
        <w:tc>
          <w:tcPr>
            <w:tcW w:type="dxa" w:w="2185"/>
            <w:shd w:val="clear" w:color="auto" w:fill="1E3A5F"/>
          </w:tcPr>
          <w:p>
            <w:pPr>
              <w:jc w:val="center"/>
            </w:pPr>
            <w:r>
              <w:rPr>
                <w:rFonts w:ascii="Calibri" w:hAnsi="Calibri"/>
                <w:b/>
                <w:color w:val="FFFFFF"/>
                <w:sz w:val="20"/>
              </w:rPr>
              <w:t>CV RMSE</w:t>
            </w:r>
          </w:p>
        </w:tc>
        <w:tc>
          <w:tcPr>
            <w:tcW w:type="dxa" w:w="2185"/>
            <w:shd w:val="clear" w:color="auto" w:fill="1E3A5F"/>
          </w:tcPr>
          <w:p>
            <w:pPr>
              <w:jc w:val="center"/>
            </w:pPr>
            <w:r>
              <w:rPr>
                <w:rFonts w:ascii="Calibri" w:hAnsi="Calibri"/>
                <w:b/>
                <w:color w:val="FFFFFF"/>
                <w:sz w:val="20"/>
              </w:rPr>
              <w:t>CV R²</w:t>
            </w:r>
          </w:p>
        </w:tc>
        <w:tc>
          <w:tcPr>
            <w:tcW w:type="dxa" w:w="2185"/>
            <w:shd w:val="clear" w:color="auto" w:fill="1E3A5F"/>
          </w:tcPr>
          <w:p>
            <w:pPr>
              <w:jc w:val="center"/>
            </w:pPr>
            <w:r>
              <w:rPr>
                <w:rFonts w:ascii="Calibri" w:hAnsi="Calibri"/>
                <w:b/>
                <w:color w:val="FFFFFF"/>
                <w:sz w:val="20"/>
              </w:rPr>
              <w:t>Temps</w:t>
            </w:r>
          </w:p>
        </w:tc>
      </w:tr>
      <w:tr>
        <w:tc>
          <w:tcPr>
            <w:tcW w:type="dxa" w:w="2185"/>
            <w:shd w:val="clear" w:color="auto" w:fill="F1F5F9"/>
          </w:tcPr>
          <w:p>
            <w:pPr>
              <w:jc w:val="center"/>
            </w:pPr>
            <w:r>
              <w:rPr>
                <w:rFonts w:ascii="Calibri" w:hAnsi="Calibri"/>
                <w:b/>
                <w:color w:val="10B981"/>
                <w:sz w:val="20"/>
              </w:rPr>
              <w:t>Random Forest</w:t>
            </w:r>
          </w:p>
        </w:tc>
        <w:tc>
          <w:tcPr>
            <w:tcW w:type="dxa" w:w="2185"/>
            <w:shd w:val="clear" w:color="auto" w:fill="F1F5F9"/>
          </w:tcPr>
          <w:p>
            <w:pPr>
              <w:jc w:val="center"/>
            </w:pPr>
            <w:r>
              <w:rPr>
                <w:rFonts w:ascii="Calibri" w:hAnsi="Calibri"/>
                <w:b/>
                <w:color w:val="10B981"/>
                <w:sz w:val="20"/>
              </w:rPr>
              <w:t>5.3548</w:t>
            </w:r>
          </w:p>
        </w:tc>
        <w:tc>
          <w:tcPr>
            <w:tcW w:type="dxa" w:w="2185"/>
            <w:shd w:val="clear" w:color="auto" w:fill="F1F5F9"/>
          </w:tcPr>
          <w:p>
            <w:pPr>
              <w:jc w:val="center"/>
            </w:pPr>
            <w:r>
              <w:rPr>
                <w:rFonts w:ascii="Calibri" w:hAnsi="Calibri"/>
                <w:b/>
                <w:color w:val="10B981"/>
                <w:sz w:val="20"/>
              </w:rPr>
              <w:t>0.9964</w:t>
            </w:r>
          </w:p>
        </w:tc>
        <w:tc>
          <w:tcPr>
            <w:tcW w:type="dxa" w:w="2185"/>
            <w:shd w:val="clear" w:color="auto" w:fill="F1F5F9"/>
          </w:tcPr>
          <w:p>
            <w:pPr>
              <w:jc w:val="center"/>
            </w:pPr>
            <w:r>
              <w:rPr>
                <w:rFonts w:ascii="Calibri" w:hAnsi="Calibri"/>
                <w:b/>
                <w:color w:val="10B981"/>
                <w:sz w:val="20"/>
              </w:rPr>
              <w:t>7.6s</w:t>
            </w:r>
          </w:p>
        </w:tc>
      </w:tr>
      <w:tr>
        <w:tc>
          <w:tcPr>
            <w:tcW w:type="dxa" w:w="2185"/>
            <w:shd w:val="clear" w:color="auto" w:fill="FFFFFF"/>
          </w:tcPr>
          <w:p>
            <w:pPr>
              <w:jc w:val="center"/>
            </w:pPr>
            <w:r>
              <w:rPr>
                <w:rFonts w:ascii="Calibri" w:hAnsi="Calibri"/>
                <w:sz w:val="20"/>
              </w:rPr>
              <w:t>XGBoost</w:t>
            </w:r>
          </w:p>
        </w:tc>
        <w:tc>
          <w:tcPr>
            <w:tcW w:type="dxa" w:w="2185"/>
            <w:shd w:val="clear" w:color="auto" w:fill="FFFFFF"/>
          </w:tcPr>
          <w:p>
            <w:pPr>
              <w:jc w:val="center"/>
            </w:pPr>
            <w:r>
              <w:rPr>
                <w:rFonts w:ascii="Calibri" w:hAnsi="Calibri"/>
                <w:sz w:val="20"/>
              </w:rPr>
              <w:t>5.3665</w:t>
            </w:r>
          </w:p>
        </w:tc>
        <w:tc>
          <w:tcPr>
            <w:tcW w:type="dxa" w:w="2185"/>
            <w:shd w:val="clear" w:color="auto" w:fill="FFFFFF"/>
          </w:tcPr>
          <w:p>
            <w:pPr>
              <w:jc w:val="center"/>
            </w:pPr>
            <w:r>
              <w:rPr>
                <w:rFonts w:ascii="Calibri" w:hAnsi="Calibri"/>
                <w:sz w:val="20"/>
              </w:rPr>
              <w:t>0.9965</w:t>
            </w:r>
          </w:p>
        </w:tc>
        <w:tc>
          <w:tcPr>
            <w:tcW w:type="dxa" w:w="2185"/>
            <w:shd w:val="clear" w:color="auto" w:fill="FFFFFF"/>
          </w:tcPr>
          <w:p>
            <w:pPr>
              <w:jc w:val="center"/>
            </w:pPr>
            <w:r>
              <w:rPr>
                <w:rFonts w:ascii="Calibri" w:hAnsi="Calibri"/>
                <w:sz w:val="20"/>
              </w:rPr>
              <w:t>3.6s</w:t>
            </w:r>
          </w:p>
        </w:tc>
      </w:tr>
      <w:tr>
        <w:tc>
          <w:tcPr>
            <w:tcW w:type="dxa" w:w="2185"/>
            <w:shd w:val="clear" w:color="auto" w:fill="F1F5F9"/>
          </w:tcPr>
          <w:p>
            <w:pPr>
              <w:jc w:val="center"/>
            </w:pPr>
            <w:r>
              <w:rPr>
                <w:rFonts w:ascii="Calibri" w:hAnsi="Calibri"/>
                <w:sz w:val="20"/>
              </w:rPr>
              <w:t>Linear Regression</w:t>
            </w:r>
          </w:p>
        </w:tc>
        <w:tc>
          <w:tcPr>
            <w:tcW w:type="dxa" w:w="2185"/>
            <w:shd w:val="clear" w:color="auto" w:fill="F1F5F9"/>
          </w:tcPr>
          <w:p>
            <w:pPr>
              <w:jc w:val="center"/>
            </w:pPr>
            <w:r>
              <w:rPr>
                <w:rFonts w:ascii="Calibri" w:hAnsi="Calibri"/>
                <w:sz w:val="20"/>
              </w:rPr>
              <w:t>6.2400</w:t>
            </w:r>
          </w:p>
        </w:tc>
        <w:tc>
          <w:tcPr>
            <w:tcW w:type="dxa" w:w="2185"/>
            <w:shd w:val="clear" w:color="auto" w:fill="F1F5F9"/>
          </w:tcPr>
          <w:p>
            <w:pPr>
              <w:jc w:val="center"/>
            </w:pPr>
            <w:r>
              <w:rPr>
                <w:rFonts w:ascii="Calibri" w:hAnsi="Calibri"/>
                <w:sz w:val="20"/>
              </w:rPr>
              <w:t>0.9950</w:t>
            </w:r>
          </w:p>
        </w:tc>
        <w:tc>
          <w:tcPr>
            <w:tcW w:type="dxa" w:w="2185"/>
            <w:shd w:val="clear" w:color="auto" w:fill="F1F5F9"/>
          </w:tcPr>
          <w:p>
            <w:pPr>
              <w:jc w:val="center"/>
            </w:pPr>
            <w:r>
              <w:rPr>
                <w:rFonts w:ascii="Calibri" w:hAnsi="Calibri"/>
                <w:sz w:val="20"/>
              </w:rPr>
              <w:t>2.2s</w:t>
            </w:r>
          </w:p>
        </w:tc>
      </w:tr>
      <w:tr>
        <w:tc>
          <w:tcPr>
            <w:tcW w:type="dxa" w:w="2185"/>
            <w:shd w:val="clear" w:color="auto" w:fill="FFFFFF"/>
          </w:tcPr>
          <w:p>
            <w:pPr>
              <w:jc w:val="center"/>
            </w:pPr>
            <w:r>
              <w:rPr>
                <w:rFonts w:ascii="Calibri" w:hAnsi="Calibri"/>
                <w:sz w:val="20"/>
              </w:rPr>
              <w:t>MLP (Deep Learning)</w:t>
            </w:r>
          </w:p>
        </w:tc>
        <w:tc>
          <w:tcPr>
            <w:tcW w:type="dxa" w:w="2185"/>
            <w:shd w:val="clear" w:color="auto" w:fill="FFFFFF"/>
          </w:tcPr>
          <w:p>
            <w:pPr>
              <w:jc w:val="center"/>
            </w:pPr>
            <w:r>
              <w:rPr>
                <w:rFonts w:ascii="Calibri" w:hAnsi="Calibri"/>
                <w:sz w:val="20"/>
              </w:rPr>
              <w:t>6.3482</w:t>
            </w:r>
          </w:p>
        </w:tc>
        <w:tc>
          <w:tcPr>
            <w:tcW w:type="dxa" w:w="2185"/>
            <w:shd w:val="clear" w:color="auto" w:fill="FFFFFF"/>
          </w:tcPr>
          <w:p>
            <w:pPr>
              <w:jc w:val="center"/>
            </w:pPr>
            <w:r>
              <w:rPr>
                <w:rFonts w:ascii="Calibri" w:hAnsi="Calibri"/>
                <w:sz w:val="20"/>
              </w:rPr>
              <w:t>0.9950</w:t>
            </w:r>
          </w:p>
        </w:tc>
        <w:tc>
          <w:tcPr>
            <w:tcW w:type="dxa" w:w="2185"/>
            <w:shd w:val="clear" w:color="auto" w:fill="FFFFFF"/>
          </w:tcPr>
          <w:p>
            <w:pPr>
              <w:jc w:val="center"/>
            </w:pPr>
            <w:r>
              <w:rPr>
                <w:rFonts w:ascii="Calibri" w:hAnsi="Calibri"/>
                <w:sz w:val="20"/>
              </w:rPr>
              <w:t>5.3s</w:t>
            </w:r>
          </w:p>
        </w:tc>
      </w:tr>
    </w:tbl>
    <w:p/>
    <w:p>
      <w:r>
        <w:rPr>
          <w:i/>
        </w:rPr>
        <w:t>Note : la Régression Linéaire ne fait pas l'objet d'une GridSearchCV (pas d'hyperparamètre). Les résultats CV sont obtenus via cross_validate() avec le même KFold 5-fold.</w:t>
      </w:r>
    </w:p>
    <w:p>
      <w:r>
        <w:br w:type="page"/>
      </w:r>
    </w:p>
    <w:p>
      <w:pPr>
        <w:pStyle w:val="Heading1"/>
        <w:jc w:val="left"/>
      </w:pPr>
      <w:r>
        <w:rPr>
          <w:rFonts w:ascii="Calibri" w:hAnsi="Calibri"/>
          <w:color w:val="1E3A5F"/>
        </w:rPr>
        <w:t>5. Évaluation et comparaison des modèles</w:t>
      </w:r>
    </w:p>
    <w:p>
      <w:pPr>
        <w:pStyle w:val="Heading2"/>
        <w:jc w:val="left"/>
      </w:pPr>
      <w:r>
        <w:rPr>
          <w:rFonts w:ascii="Calibri" w:hAnsi="Calibri"/>
          <w:color w:val="2563EB"/>
        </w:rPr>
        <w:t>5.1 Métriques utilisées</w:t>
      </w:r>
    </w:p>
    <w:tbl>
      <w:tblPr>
        <w:tblStyle w:val="TableGrid"/>
        <w:tblW w:type="auto" w:w="0"/>
        <w:tblLook w:firstColumn="1" w:firstRow="1" w:lastColumn="0" w:lastRow="0" w:noHBand="0" w:noVBand="1" w:val="04A0"/>
      </w:tblPr>
      <w:tblGrid>
        <w:gridCol w:w="2914"/>
        <w:gridCol w:w="2914"/>
        <w:gridCol w:w="2914"/>
      </w:tblGrid>
      <w:tr>
        <w:tc>
          <w:tcPr>
            <w:tcW w:type="dxa" w:w="2914"/>
            <w:shd w:val="clear" w:color="auto" w:fill="1E3A5F"/>
          </w:tcPr>
          <w:p>
            <w:pPr>
              <w:jc w:val="center"/>
            </w:pPr>
            <w:r>
              <w:rPr>
                <w:rFonts w:ascii="Calibri" w:hAnsi="Calibri"/>
                <w:b/>
                <w:color w:val="FFFFFF"/>
                <w:sz w:val="20"/>
              </w:rPr>
              <w:t>Métrique</w:t>
            </w:r>
          </w:p>
        </w:tc>
        <w:tc>
          <w:tcPr>
            <w:tcW w:type="dxa" w:w="2914"/>
            <w:shd w:val="clear" w:color="auto" w:fill="1E3A5F"/>
          </w:tcPr>
          <w:p>
            <w:pPr>
              <w:jc w:val="center"/>
            </w:pPr>
            <w:r>
              <w:rPr>
                <w:rFonts w:ascii="Calibri" w:hAnsi="Calibri"/>
                <w:b/>
                <w:color w:val="FFFFFF"/>
                <w:sz w:val="20"/>
              </w:rPr>
              <w:t>Formule</w:t>
            </w:r>
          </w:p>
        </w:tc>
        <w:tc>
          <w:tcPr>
            <w:tcW w:type="dxa" w:w="2914"/>
            <w:shd w:val="clear" w:color="auto" w:fill="1E3A5F"/>
          </w:tcPr>
          <w:p>
            <w:pPr>
              <w:jc w:val="center"/>
            </w:pPr>
            <w:r>
              <w:rPr>
                <w:rFonts w:ascii="Calibri" w:hAnsi="Calibri"/>
                <w:b/>
                <w:color w:val="FFFFFF"/>
                <w:sz w:val="20"/>
              </w:rPr>
              <w:t>Interprétation</w:t>
            </w:r>
          </w:p>
        </w:tc>
      </w:tr>
      <w:tr>
        <w:tc>
          <w:tcPr>
            <w:tcW w:type="dxa" w:w="2914"/>
            <w:shd w:val="clear" w:color="auto" w:fill="F1F5F9"/>
          </w:tcPr>
          <w:p>
            <w:pPr>
              <w:jc w:val="center"/>
            </w:pPr>
            <w:r>
              <w:rPr>
                <w:rFonts w:ascii="Calibri" w:hAnsi="Calibri"/>
                <w:b/>
                <w:color w:val="10B981"/>
                <w:sz w:val="20"/>
              </w:rPr>
              <w:t>MAE</w:t>
            </w:r>
          </w:p>
        </w:tc>
        <w:tc>
          <w:tcPr>
            <w:tcW w:type="dxa" w:w="2914"/>
            <w:shd w:val="clear" w:color="auto" w:fill="F1F5F9"/>
          </w:tcPr>
          <w:p>
            <w:pPr>
              <w:jc w:val="center"/>
            </w:pPr>
            <w:r>
              <w:rPr>
                <w:rFonts w:ascii="Calibri" w:hAnsi="Calibri"/>
                <w:b/>
                <w:color w:val="10B981"/>
                <w:sz w:val="20"/>
              </w:rPr>
              <w:t>|y - ŷ| moyen</w:t>
            </w:r>
          </w:p>
        </w:tc>
        <w:tc>
          <w:tcPr>
            <w:tcW w:type="dxa" w:w="2914"/>
            <w:shd w:val="clear" w:color="auto" w:fill="F1F5F9"/>
          </w:tcPr>
          <w:p>
            <w:pPr>
              <w:jc w:val="center"/>
            </w:pPr>
            <w:r>
              <w:rPr>
                <w:rFonts w:ascii="Calibri" w:hAnsi="Calibri"/>
                <w:b/>
                <w:color w:val="10B981"/>
                <w:sz w:val="20"/>
              </w:rPr>
              <w:t>Erreur absolue moyenne (en M$)</w:t>
            </w:r>
          </w:p>
        </w:tc>
      </w:tr>
      <w:tr>
        <w:tc>
          <w:tcPr>
            <w:tcW w:type="dxa" w:w="2914"/>
            <w:shd w:val="clear" w:color="auto" w:fill="FFFFFF"/>
          </w:tcPr>
          <w:p>
            <w:pPr>
              <w:jc w:val="center"/>
            </w:pPr>
            <w:r>
              <w:rPr>
                <w:rFonts w:ascii="Calibri" w:hAnsi="Calibri"/>
                <w:sz w:val="20"/>
              </w:rPr>
              <w:t>RMSE</w:t>
            </w:r>
          </w:p>
        </w:tc>
        <w:tc>
          <w:tcPr>
            <w:tcW w:type="dxa" w:w="2914"/>
            <w:shd w:val="clear" w:color="auto" w:fill="FFFFFF"/>
          </w:tcPr>
          <w:p>
            <w:pPr>
              <w:jc w:val="center"/>
            </w:pPr>
            <w:r>
              <w:rPr>
                <w:rFonts w:ascii="Calibri" w:hAnsi="Calibri"/>
                <w:sz w:val="20"/>
              </w:rPr>
              <w:t>√(MSE)</w:t>
            </w:r>
          </w:p>
        </w:tc>
        <w:tc>
          <w:tcPr>
            <w:tcW w:type="dxa" w:w="2914"/>
            <w:shd w:val="clear" w:color="auto" w:fill="FFFFFF"/>
          </w:tcPr>
          <w:p>
            <w:pPr>
              <w:jc w:val="center"/>
            </w:pPr>
            <w:r>
              <w:rPr>
                <w:rFonts w:ascii="Calibri" w:hAnsi="Calibri"/>
                <w:sz w:val="20"/>
              </w:rPr>
              <w:t>Penalise les grandes erreurs — sensible aux outliers</w:t>
            </w:r>
          </w:p>
        </w:tc>
      </w:tr>
      <w:tr>
        <w:tc>
          <w:tcPr>
            <w:tcW w:type="dxa" w:w="2914"/>
            <w:shd w:val="clear" w:color="auto" w:fill="F1F5F9"/>
          </w:tcPr>
          <w:p>
            <w:pPr>
              <w:jc w:val="center"/>
            </w:pPr>
            <w:r>
              <w:rPr>
                <w:rFonts w:ascii="Calibri" w:hAnsi="Calibri"/>
                <w:sz w:val="20"/>
              </w:rPr>
              <w:t>R²</w:t>
            </w:r>
          </w:p>
        </w:tc>
        <w:tc>
          <w:tcPr>
            <w:tcW w:type="dxa" w:w="2914"/>
            <w:shd w:val="clear" w:color="auto" w:fill="F1F5F9"/>
          </w:tcPr>
          <w:p>
            <w:pPr>
              <w:jc w:val="center"/>
            </w:pPr>
            <w:r>
              <w:rPr>
                <w:rFonts w:ascii="Calibri" w:hAnsi="Calibri"/>
                <w:sz w:val="20"/>
              </w:rPr>
              <w:t>1 - SS_res/SS_tot</w:t>
            </w:r>
          </w:p>
        </w:tc>
        <w:tc>
          <w:tcPr>
            <w:tcW w:type="dxa" w:w="2914"/>
            <w:shd w:val="clear" w:color="auto" w:fill="F1F5F9"/>
          </w:tcPr>
          <w:p>
            <w:pPr>
              <w:jc w:val="center"/>
            </w:pPr>
            <w:r>
              <w:rPr>
                <w:rFonts w:ascii="Calibri" w:hAnsi="Calibri"/>
                <w:sz w:val="20"/>
              </w:rPr>
              <w:t>Part de variance expliquée (1 = parfait)</w:t>
            </w:r>
          </w:p>
        </w:tc>
      </w:tr>
      <w:tr>
        <w:tc>
          <w:tcPr>
            <w:tcW w:type="dxa" w:w="2914"/>
            <w:shd w:val="clear" w:color="auto" w:fill="FFFFFF"/>
          </w:tcPr>
          <w:p>
            <w:pPr>
              <w:jc w:val="center"/>
            </w:pPr>
            <w:r>
              <w:rPr>
                <w:rFonts w:ascii="Calibri" w:hAnsi="Calibri"/>
                <w:sz w:val="20"/>
              </w:rPr>
              <w:t>MAPE (%)</w:t>
            </w:r>
          </w:p>
        </w:tc>
        <w:tc>
          <w:tcPr>
            <w:tcW w:type="dxa" w:w="2914"/>
            <w:shd w:val="clear" w:color="auto" w:fill="FFFFFF"/>
          </w:tcPr>
          <w:p>
            <w:pPr>
              <w:jc w:val="center"/>
            </w:pPr>
            <w:r>
              <w:rPr>
                <w:rFonts w:ascii="Calibri" w:hAnsi="Calibri"/>
                <w:sz w:val="20"/>
              </w:rPr>
              <w:t>|y-ŷ|/|y| × 100</w:t>
            </w:r>
          </w:p>
        </w:tc>
        <w:tc>
          <w:tcPr>
            <w:tcW w:type="dxa" w:w="2914"/>
            <w:shd w:val="clear" w:color="auto" w:fill="FFFFFF"/>
          </w:tcPr>
          <w:p>
            <w:pPr>
              <w:jc w:val="center"/>
            </w:pPr>
            <w:r>
              <w:rPr>
                <w:rFonts w:ascii="Calibri" w:hAnsi="Calibri"/>
                <w:sz w:val="20"/>
              </w:rPr>
              <w:t>Erreur relative interprétable par le métier</w:t>
            </w:r>
          </w:p>
        </w:tc>
      </w:tr>
    </w:tbl>
    <w:p/>
    <w:p>
      <w:pPr>
        <w:pStyle w:val="Heading2"/>
        <w:jc w:val="left"/>
      </w:pPr>
      <w:r>
        <w:rPr>
          <w:rFonts w:ascii="Calibri" w:hAnsi="Calibri"/>
          <w:color w:val="2563EB"/>
        </w:rPr>
        <w:t>5.2 Résultats sur le test set</w:t>
      </w:r>
    </w:p>
    <w:tbl>
      <w:tblPr>
        <w:tblStyle w:val="TableGrid"/>
        <w:tblW w:type="auto" w:w="0"/>
        <w:tblLook w:firstColumn="1" w:firstRow="1" w:lastColumn="0" w:lastRow="0" w:noHBand="0" w:noVBand="1" w:val="04A0"/>
      </w:tblPr>
      <w:tblGrid>
        <w:gridCol w:w="1249"/>
        <w:gridCol w:w="1249"/>
        <w:gridCol w:w="1249"/>
        <w:gridCol w:w="1249"/>
        <w:gridCol w:w="1249"/>
        <w:gridCol w:w="1249"/>
        <w:gridCol w:w="1249"/>
      </w:tblGrid>
      <w:tr>
        <w:tc>
          <w:tcPr>
            <w:tcW w:type="dxa" w:w="1249"/>
            <w:shd w:val="clear" w:color="auto" w:fill="1E3A5F"/>
          </w:tcPr>
          <w:p>
            <w:pPr>
              <w:jc w:val="center"/>
            </w:pPr>
            <w:r>
              <w:rPr>
                <w:rFonts w:ascii="Calibri" w:hAnsi="Calibri"/>
                <w:b/>
                <w:color w:val="FFFFFF"/>
                <w:sz w:val="20"/>
              </w:rPr>
              <w:t>Modèle</w:t>
            </w:r>
          </w:p>
        </w:tc>
        <w:tc>
          <w:tcPr>
            <w:tcW w:type="dxa" w:w="1249"/>
            <w:shd w:val="clear" w:color="auto" w:fill="1E3A5F"/>
          </w:tcPr>
          <w:p>
            <w:pPr>
              <w:jc w:val="center"/>
            </w:pPr>
            <w:r>
              <w:rPr>
                <w:rFonts w:ascii="Calibri" w:hAnsi="Calibri"/>
                <w:b/>
                <w:color w:val="FFFFFF"/>
                <w:sz w:val="20"/>
              </w:rPr>
              <w:t>MAE</w:t>
            </w:r>
          </w:p>
        </w:tc>
        <w:tc>
          <w:tcPr>
            <w:tcW w:type="dxa" w:w="1249"/>
            <w:shd w:val="clear" w:color="auto" w:fill="1E3A5F"/>
          </w:tcPr>
          <w:p>
            <w:pPr>
              <w:jc w:val="center"/>
            </w:pPr>
            <w:r>
              <w:rPr>
                <w:rFonts w:ascii="Calibri" w:hAnsi="Calibri"/>
                <w:b/>
                <w:color w:val="FFFFFF"/>
                <w:sz w:val="20"/>
              </w:rPr>
              <w:t>RMSE</w:t>
            </w:r>
          </w:p>
        </w:tc>
        <w:tc>
          <w:tcPr>
            <w:tcW w:type="dxa" w:w="1249"/>
            <w:shd w:val="clear" w:color="auto" w:fill="1E3A5F"/>
          </w:tcPr>
          <w:p>
            <w:pPr>
              <w:jc w:val="center"/>
            </w:pPr>
            <w:r>
              <w:rPr>
                <w:rFonts w:ascii="Calibri" w:hAnsi="Calibri"/>
                <w:b/>
                <w:color w:val="FFFFFF"/>
                <w:sz w:val="20"/>
              </w:rPr>
              <w:t>R²</w:t>
            </w:r>
          </w:p>
        </w:tc>
        <w:tc>
          <w:tcPr>
            <w:tcW w:type="dxa" w:w="1249"/>
            <w:shd w:val="clear" w:color="auto" w:fill="1E3A5F"/>
          </w:tcPr>
          <w:p>
            <w:pPr>
              <w:jc w:val="center"/>
            </w:pPr>
            <w:r>
              <w:rPr>
                <w:rFonts w:ascii="Calibri" w:hAnsi="Calibri"/>
                <w:b/>
                <w:color w:val="FFFFFF"/>
                <w:sz w:val="20"/>
              </w:rPr>
              <w:t>MAPE</w:t>
            </w:r>
          </w:p>
        </w:tc>
        <w:tc>
          <w:tcPr>
            <w:tcW w:type="dxa" w:w="1249"/>
            <w:shd w:val="clear" w:color="auto" w:fill="1E3A5F"/>
          </w:tcPr>
          <w:p>
            <w:pPr>
              <w:jc w:val="center"/>
            </w:pPr>
            <w:r>
              <w:rPr>
                <w:rFonts w:ascii="Calibri" w:hAnsi="Calibri"/>
                <w:b/>
                <w:color w:val="FFFFFF"/>
                <w:sz w:val="20"/>
              </w:rPr>
              <w:t>Gap R²</w:t>
            </w:r>
          </w:p>
        </w:tc>
        <w:tc>
          <w:tcPr>
            <w:tcW w:type="dxa" w:w="1249"/>
            <w:shd w:val="clear" w:color="auto" w:fill="1E3A5F"/>
          </w:tcPr>
          <w:p>
            <w:pPr>
              <w:jc w:val="center"/>
            </w:pPr>
            <w:r>
              <w:rPr>
                <w:rFonts w:ascii="Calibri" w:hAnsi="Calibri"/>
                <w:b/>
                <w:color w:val="FFFFFF"/>
                <w:sz w:val="20"/>
              </w:rPr>
              <w:t>Verdict</w:t>
            </w:r>
          </w:p>
        </w:tc>
      </w:tr>
      <w:tr>
        <w:tc>
          <w:tcPr>
            <w:tcW w:type="dxa" w:w="1249"/>
            <w:shd w:val="clear" w:color="auto" w:fill="F1F5F9"/>
          </w:tcPr>
          <w:p>
            <w:pPr>
              <w:jc w:val="center"/>
            </w:pPr>
            <w:r>
              <w:rPr>
                <w:rFonts w:ascii="Calibri" w:hAnsi="Calibri"/>
                <w:b/>
                <w:color w:val="10B981"/>
                <w:sz w:val="20"/>
              </w:rPr>
              <w:t>XGBoost</w:t>
            </w:r>
          </w:p>
        </w:tc>
        <w:tc>
          <w:tcPr>
            <w:tcW w:type="dxa" w:w="1249"/>
            <w:shd w:val="clear" w:color="auto" w:fill="F1F5F9"/>
          </w:tcPr>
          <w:p>
            <w:pPr>
              <w:jc w:val="center"/>
            </w:pPr>
            <w:r>
              <w:rPr>
                <w:rFonts w:ascii="Calibri" w:hAnsi="Calibri"/>
                <w:b/>
                <w:color w:val="10B981"/>
                <w:sz w:val="20"/>
              </w:rPr>
              <w:t>2.502</w:t>
            </w:r>
          </w:p>
        </w:tc>
        <w:tc>
          <w:tcPr>
            <w:tcW w:type="dxa" w:w="1249"/>
            <w:shd w:val="clear" w:color="auto" w:fill="F1F5F9"/>
          </w:tcPr>
          <w:p>
            <w:pPr>
              <w:jc w:val="center"/>
            </w:pPr>
            <w:r>
              <w:rPr>
                <w:rFonts w:ascii="Calibri" w:hAnsi="Calibri"/>
                <w:b/>
                <w:color w:val="10B981"/>
                <w:sz w:val="20"/>
              </w:rPr>
              <w:t>3.538</w:t>
            </w:r>
          </w:p>
        </w:tc>
        <w:tc>
          <w:tcPr>
            <w:tcW w:type="dxa" w:w="1249"/>
            <w:shd w:val="clear" w:color="auto" w:fill="F1F5F9"/>
          </w:tcPr>
          <w:p>
            <w:pPr>
              <w:jc w:val="center"/>
            </w:pPr>
            <w:r>
              <w:rPr>
                <w:rFonts w:ascii="Calibri" w:hAnsi="Calibri"/>
                <w:b/>
                <w:color w:val="10B981"/>
                <w:sz w:val="20"/>
              </w:rPr>
              <w:t>0.9985</w:t>
            </w:r>
          </w:p>
        </w:tc>
        <w:tc>
          <w:tcPr>
            <w:tcW w:type="dxa" w:w="1249"/>
            <w:shd w:val="clear" w:color="auto" w:fill="F1F5F9"/>
          </w:tcPr>
          <w:p>
            <w:pPr>
              <w:jc w:val="center"/>
            </w:pPr>
            <w:r>
              <w:rPr>
                <w:rFonts w:ascii="Calibri" w:hAnsi="Calibri"/>
                <w:b/>
                <w:color w:val="10B981"/>
                <w:sz w:val="20"/>
              </w:rPr>
              <w:t>1.84%</w:t>
            </w:r>
          </w:p>
        </w:tc>
        <w:tc>
          <w:tcPr>
            <w:tcW w:type="dxa" w:w="1249"/>
            <w:shd w:val="clear" w:color="auto" w:fill="F1F5F9"/>
          </w:tcPr>
          <w:p>
            <w:pPr>
              <w:jc w:val="center"/>
            </w:pPr>
            <w:r>
              <w:rPr>
                <w:rFonts w:ascii="Calibri" w:hAnsi="Calibri"/>
                <w:b/>
                <w:color w:val="10B981"/>
                <w:sz w:val="20"/>
              </w:rPr>
              <w:t>+0.0000</w:t>
            </w:r>
          </w:p>
        </w:tc>
        <w:tc>
          <w:tcPr>
            <w:tcW w:type="dxa" w:w="1249"/>
            <w:shd w:val="clear" w:color="auto" w:fill="F1F5F9"/>
          </w:tcPr>
          <w:p>
            <w:pPr>
              <w:jc w:val="center"/>
            </w:pPr>
            <w:r>
              <w:rPr>
                <w:rFonts w:ascii="Calibri" w:hAnsi="Calibri"/>
                <w:b/>
                <w:color w:val="10B981"/>
                <w:sz w:val="20"/>
              </w:rPr>
              <w:t>OK</w:t>
            </w:r>
          </w:p>
        </w:tc>
      </w:tr>
      <w:tr>
        <w:tc>
          <w:tcPr>
            <w:tcW w:type="dxa" w:w="1249"/>
            <w:shd w:val="clear" w:color="auto" w:fill="FFFFFF"/>
          </w:tcPr>
          <w:p>
            <w:pPr>
              <w:jc w:val="center"/>
            </w:pPr>
            <w:r>
              <w:rPr>
                <w:rFonts w:ascii="Calibri" w:hAnsi="Calibri"/>
                <w:sz w:val="20"/>
              </w:rPr>
              <w:t>Random Forest</w:t>
            </w:r>
          </w:p>
        </w:tc>
        <w:tc>
          <w:tcPr>
            <w:tcW w:type="dxa" w:w="1249"/>
            <w:shd w:val="clear" w:color="auto" w:fill="FFFFFF"/>
          </w:tcPr>
          <w:p>
            <w:pPr>
              <w:jc w:val="center"/>
            </w:pPr>
            <w:r>
              <w:rPr>
                <w:rFonts w:ascii="Calibri" w:hAnsi="Calibri"/>
                <w:sz w:val="20"/>
              </w:rPr>
              <w:t>2.634</w:t>
            </w:r>
          </w:p>
        </w:tc>
        <w:tc>
          <w:tcPr>
            <w:tcW w:type="dxa" w:w="1249"/>
            <w:shd w:val="clear" w:color="auto" w:fill="FFFFFF"/>
          </w:tcPr>
          <w:p>
            <w:pPr>
              <w:jc w:val="center"/>
            </w:pPr>
            <w:r>
              <w:rPr>
                <w:rFonts w:ascii="Calibri" w:hAnsi="Calibri"/>
                <w:sz w:val="20"/>
              </w:rPr>
              <w:t>3.701</w:t>
            </w:r>
          </w:p>
        </w:tc>
        <w:tc>
          <w:tcPr>
            <w:tcW w:type="dxa" w:w="1249"/>
            <w:shd w:val="clear" w:color="auto" w:fill="FFFFFF"/>
          </w:tcPr>
          <w:p>
            <w:pPr>
              <w:jc w:val="center"/>
            </w:pPr>
            <w:r>
              <w:rPr>
                <w:rFonts w:ascii="Calibri" w:hAnsi="Calibri"/>
                <w:sz w:val="20"/>
              </w:rPr>
              <w:t>0.9984</w:t>
            </w:r>
          </w:p>
        </w:tc>
        <w:tc>
          <w:tcPr>
            <w:tcW w:type="dxa" w:w="1249"/>
            <w:shd w:val="clear" w:color="auto" w:fill="FFFFFF"/>
          </w:tcPr>
          <w:p>
            <w:pPr>
              <w:jc w:val="center"/>
            </w:pPr>
            <w:r>
              <w:rPr>
                <w:rFonts w:ascii="Calibri" w:hAnsi="Calibri"/>
                <w:sz w:val="20"/>
              </w:rPr>
              <w:t>1.90%</w:t>
            </w:r>
          </w:p>
        </w:tc>
        <w:tc>
          <w:tcPr>
            <w:tcW w:type="dxa" w:w="1249"/>
            <w:shd w:val="clear" w:color="auto" w:fill="FFFFFF"/>
          </w:tcPr>
          <w:p>
            <w:pPr>
              <w:jc w:val="center"/>
            </w:pPr>
            <w:r>
              <w:rPr>
                <w:rFonts w:ascii="Calibri" w:hAnsi="Calibri"/>
                <w:sz w:val="20"/>
              </w:rPr>
              <w:t>+0.0007</w:t>
            </w:r>
          </w:p>
        </w:tc>
        <w:tc>
          <w:tcPr>
            <w:tcW w:type="dxa" w:w="1249"/>
            <w:shd w:val="clear" w:color="auto" w:fill="FFFFFF"/>
          </w:tcPr>
          <w:p>
            <w:pPr>
              <w:jc w:val="center"/>
            </w:pPr>
            <w:r>
              <w:rPr>
                <w:rFonts w:ascii="Calibri" w:hAnsi="Calibri"/>
                <w:sz w:val="20"/>
              </w:rPr>
              <w:t>OVERFITTING</w:t>
            </w:r>
          </w:p>
        </w:tc>
      </w:tr>
      <w:tr>
        <w:tc>
          <w:tcPr>
            <w:tcW w:type="dxa" w:w="1249"/>
            <w:shd w:val="clear" w:color="auto" w:fill="F1F5F9"/>
          </w:tcPr>
          <w:p>
            <w:pPr>
              <w:jc w:val="center"/>
            </w:pPr>
            <w:r>
              <w:rPr>
                <w:rFonts w:ascii="Calibri" w:hAnsi="Calibri"/>
                <w:sz w:val="20"/>
              </w:rPr>
              <w:t>Linear Regression</w:t>
            </w:r>
          </w:p>
        </w:tc>
        <w:tc>
          <w:tcPr>
            <w:tcW w:type="dxa" w:w="1249"/>
            <w:shd w:val="clear" w:color="auto" w:fill="F1F5F9"/>
          </w:tcPr>
          <w:p>
            <w:pPr>
              <w:jc w:val="center"/>
            </w:pPr>
            <w:r>
              <w:rPr>
                <w:rFonts w:ascii="Calibri" w:hAnsi="Calibri"/>
                <w:sz w:val="20"/>
              </w:rPr>
              <w:t>2.586</w:t>
            </w:r>
          </w:p>
        </w:tc>
        <w:tc>
          <w:tcPr>
            <w:tcW w:type="dxa" w:w="1249"/>
            <w:shd w:val="clear" w:color="auto" w:fill="F1F5F9"/>
          </w:tcPr>
          <w:p>
            <w:pPr>
              <w:jc w:val="center"/>
            </w:pPr>
            <w:r>
              <w:rPr>
                <w:rFonts w:ascii="Calibri" w:hAnsi="Calibri"/>
                <w:sz w:val="20"/>
              </w:rPr>
              <w:t>5.879</w:t>
            </w:r>
          </w:p>
        </w:tc>
        <w:tc>
          <w:tcPr>
            <w:tcW w:type="dxa" w:w="1249"/>
            <w:shd w:val="clear" w:color="auto" w:fill="F1F5F9"/>
          </w:tcPr>
          <w:p>
            <w:pPr>
              <w:jc w:val="center"/>
            </w:pPr>
            <w:r>
              <w:rPr>
                <w:rFonts w:ascii="Calibri" w:hAnsi="Calibri"/>
                <w:sz w:val="20"/>
              </w:rPr>
              <w:t>0.9960</w:t>
            </w:r>
          </w:p>
        </w:tc>
        <w:tc>
          <w:tcPr>
            <w:tcW w:type="dxa" w:w="1249"/>
            <w:shd w:val="clear" w:color="auto" w:fill="F1F5F9"/>
          </w:tcPr>
          <w:p>
            <w:pPr>
              <w:jc w:val="center"/>
            </w:pPr>
            <w:r>
              <w:rPr>
                <w:rFonts w:ascii="Calibri" w:hAnsi="Calibri"/>
                <w:sz w:val="20"/>
              </w:rPr>
              <w:t>1.87%</w:t>
            </w:r>
          </w:p>
        </w:tc>
        <w:tc>
          <w:tcPr>
            <w:tcW w:type="dxa" w:w="1249"/>
            <w:shd w:val="clear" w:color="auto" w:fill="F1F5F9"/>
          </w:tcPr>
          <w:p>
            <w:pPr>
              <w:jc w:val="center"/>
            </w:pPr>
            <w:r>
              <w:rPr>
                <w:rFonts w:ascii="Calibri" w:hAnsi="Calibri"/>
                <w:sz w:val="20"/>
              </w:rPr>
              <w:t>-0.0009</w:t>
            </w:r>
          </w:p>
        </w:tc>
        <w:tc>
          <w:tcPr>
            <w:tcW w:type="dxa" w:w="1249"/>
            <w:shd w:val="clear" w:color="auto" w:fill="F1F5F9"/>
          </w:tcPr>
          <w:p>
            <w:pPr>
              <w:jc w:val="center"/>
            </w:pPr>
            <w:r>
              <w:rPr>
                <w:rFonts w:ascii="Calibri" w:hAnsi="Calibri"/>
                <w:sz w:val="20"/>
              </w:rPr>
              <w:t>OK</w:t>
            </w:r>
          </w:p>
        </w:tc>
      </w:tr>
      <w:tr>
        <w:tc>
          <w:tcPr>
            <w:tcW w:type="dxa" w:w="1249"/>
            <w:shd w:val="clear" w:color="auto" w:fill="FFFFFF"/>
          </w:tcPr>
          <w:p>
            <w:pPr>
              <w:jc w:val="center"/>
            </w:pPr>
            <w:r>
              <w:rPr>
                <w:rFonts w:ascii="Calibri" w:hAnsi="Calibri"/>
                <w:sz w:val="20"/>
              </w:rPr>
              <w:t>MLP (Deep Learning)</w:t>
            </w:r>
          </w:p>
        </w:tc>
        <w:tc>
          <w:tcPr>
            <w:tcW w:type="dxa" w:w="1249"/>
            <w:shd w:val="clear" w:color="auto" w:fill="FFFFFF"/>
          </w:tcPr>
          <w:p>
            <w:pPr>
              <w:jc w:val="center"/>
            </w:pPr>
            <w:r>
              <w:rPr>
                <w:rFonts w:ascii="Calibri" w:hAnsi="Calibri"/>
                <w:sz w:val="20"/>
              </w:rPr>
              <w:t>2.877</w:t>
            </w:r>
          </w:p>
        </w:tc>
        <w:tc>
          <w:tcPr>
            <w:tcW w:type="dxa" w:w="1249"/>
            <w:shd w:val="clear" w:color="auto" w:fill="FFFFFF"/>
          </w:tcPr>
          <w:p>
            <w:pPr>
              <w:jc w:val="center"/>
            </w:pPr>
            <w:r>
              <w:rPr>
                <w:rFonts w:ascii="Calibri" w:hAnsi="Calibri"/>
                <w:sz w:val="20"/>
              </w:rPr>
              <w:t>5.983</w:t>
            </w:r>
          </w:p>
        </w:tc>
        <w:tc>
          <w:tcPr>
            <w:tcW w:type="dxa" w:w="1249"/>
            <w:shd w:val="clear" w:color="auto" w:fill="FFFFFF"/>
          </w:tcPr>
          <w:p>
            <w:pPr>
              <w:jc w:val="center"/>
            </w:pPr>
            <w:r>
              <w:rPr>
                <w:rFonts w:ascii="Calibri" w:hAnsi="Calibri"/>
                <w:sz w:val="20"/>
              </w:rPr>
              <w:t>0.9958</w:t>
            </w:r>
          </w:p>
        </w:tc>
        <w:tc>
          <w:tcPr>
            <w:tcW w:type="dxa" w:w="1249"/>
            <w:shd w:val="clear" w:color="auto" w:fill="FFFFFF"/>
          </w:tcPr>
          <w:p>
            <w:pPr>
              <w:jc w:val="center"/>
            </w:pPr>
            <w:r>
              <w:rPr>
                <w:rFonts w:ascii="Calibri" w:hAnsi="Calibri"/>
                <w:sz w:val="20"/>
              </w:rPr>
              <w:t>2.26%</w:t>
            </w:r>
          </w:p>
        </w:tc>
        <w:tc>
          <w:tcPr>
            <w:tcW w:type="dxa" w:w="1249"/>
            <w:shd w:val="clear" w:color="auto" w:fill="FFFFFF"/>
          </w:tcPr>
          <w:p>
            <w:pPr>
              <w:jc w:val="center"/>
            </w:pPr>
            <w:r>
              <w:rPr>
                <w:rFonts w:ascii="Calibri" w:hAnsi="Calibri"/>
                <w:sz w:val="20"/>
              </w:rPr>
              <w:t>-0.0008</w:t>
            </w:r>
          </w:p>
        </w:tc>
        <w:tc>
          <w:tcPr>
            <w:tcW w:type="dxa" w:w="1249"/>
            <w:shd w:val="clear" w:color="auto" w:fill="FFFFFF"/>
          </w:tcPr>
          <w:p>
            <w:pPr>
              <w:jc w:val="center"/>
            </w:pPr>
            <w:r>
              <w:rPr>
                <w:rFonts w:ascii="Calibri" w:hAnsi="Calibri"/>
                <w:sz w:val="20"/>
              </w:rPr>
              <w:t>OK</w:t>
            </w:r>
          </w:p>
        </w:tc>
      </w:tr>
    </w:tbl>
    <w:p/>
    <w:p>
      <w:pPr>
        <w:spacing w:before="80" w:after="80"/>
        <w:ind w:left="216" w:right="216"/>
        <w:jc w:val="left"/>
        <w:shd w:val="clear" w:color="auto" w:fill="D1FAE5"/>
      </w:pPr>
      <w:r>
        <w:rPr>
          <w:rFonts w:ascii="Calibri" w:hAnsi="Calibri"/>
          <w:color w:val="065F46"/>
          <w:sz w:val="21"/>
        </w:rPr>
        <w:t>MODÈLE RETENU : XGBoost — RMSE = 3.538, R² = 0.9985, MAPE = 1.84%. Gap R² = 0.000 → aucun overfitting. Le modèle prédit les ventes avec une erreur moyenne de 1.84%, ce qui offre une précision suffisante pour la planification budgétaire.</w:t>
      </w:r>
    </w:p>
    <w:p>
      <w:pPr>
        <w:pStyle w:val="Heading2"/>
        <w:jc w:val="left"/>
      </w:pPr>
      <w:r>
        <w:rPr>
          <w:rFonts w:ascii="Calibri" w:hAnsi="Calibri"/>
          <w:color w:val="2563EB"/>
        </w:rPr>
        <w:t>5.3 Visualisations</w:t>
      </w:r>
    </w:p>
    <w:p>
      <w:pPr>
        <w:jc w:val="center"/>
      </w:pPr>
      <w:r>
        <w:drawing>
          <wp:inline xmlns:a="http://schemas.openxmlformats.org/drawingml/2006/main" xmlns:pic="http://schemas.openxmlformats.org/drawingml/2006/picture">
            <wp:extent cx="5029200" cy="4310743"/>
            <wp:docPr id="6" name="Picture 6"/>
            <wp:cNvGraphicFramePr>
              <a:graphicFrameLocks noChangeAspect="1"/>
            </wp:cNvGraphicFramePr>
            <a:graphic>
              <a:graphicData uri="http://schemas.openxmlformats.org/drawingml/2006/picture">
                <pic:pic>
                  <pic:nvPicPr>
                    <pic:cNvPr id="0" name="04_predictions_vs_actual.png"/>
                    <pic:cNvPicPr/>
                  </pic:nvPicPr>
                  <pic:blipFill>
                    <a:blip r:embed="rId14"/>
                    <a:stretch>
                      <a:fillRect/>
                    </a:stretch>
                  </pic:blipFill>
                  <pic:spPr>
                    <a:xfrm>
                      <a:off x="0" y="0"/>
                      <a:ext cx="5029200" cy="4310743"/>
                    </a:xfrm>
                    <a:prstGeom prst="rect"/>
                  </pic:spPr>
                </pic:pic>
              </a:graphicData>
            </a:graphic>
          </wp:inline>
        </w:drawing>
      </w:r>
    </w:p>
    <w:p>
      <w:pPr>
        <w:jc w:val="center"/>
      </w:pPr>
      <w:r>
        <w:t>Figure 6 — Prédictions vs Ventes réelles (4 modèles, test set)</w:t>
      </w:r>
    </w:p>
    <w:p>
      <w:pPr>
        <w:jc w:val="center"/>
      </w:pPr>
      <w:r>
        <w:drawing>
          <wp:inline xmlns:a="http://schemas.openxmlformats.org/drawingml/2006/main" xmlns:pic="http://schemas.openxmlformats.org/drawingml/2006/picture">
            <wp:extent cx="5029200" cy="1397000"/>
            <wp:docPr id="7" name="Picture 7"/>
            <wp:cNvGraphicFramePr>
              <a:graphicFrameLocks noChangeAspect="1"/>
            </wp:cNvGraphicFramePr>
            <a:graphic>
              <a:graphicData uri="http://schemas.openxmlformats.org/drawingml/2006/picture">
                <pic:pic>
                  <pic:nvPicPr>
                    <pic:cNvPr id="0" name="07_metrics_comparison.png"/>
                    <pic:cNvPicPr/>
                  </pic:nvPicPr>
                  <pic:blipFill>
                    <a:blip r:embed="rId15"/>
                    <a:stretch>
                      <a:fillRect/>
                    </a:stretch>
                  </pic:blipFill>
                  <pic:spPr>
                    <a:xfrm>
                      <a:off x="0" y="0"/>
                      <a:ext cx="5029200" cy="1397000"/>
                    </a:xfrm>
                    <a:prstGeom prst="rect"/>
                  </pic:spPr>
                </pic:pic>
              </a:graphicData>
            </a:graphic>
          </wp:inline>
        </w:drawing>
      </w:r>
    </w:p>
    <w:p>
      <w:pPr>
        <w:jc w:val="center"/>
      </w:pPr>
      <w:r>
        <w:t>Figure 7 — Comparaison des métriques (RMSE, R², MAPE)</w:t>
      </w:r>
    </w:p>
    <w:p>
      <w:pPr>
        <w:jc w:val="center"/>
      </w:pPr>
      <w:r>
        <w:drawing>
          <wp:inline xmlns:a="http://schemas.openxmlformats.org/drawingml/2006/main" xmlns:pic="http://schemas.openxmlformats.org/drawingml/2006/picture">
            <wp:extent cx="5029200" cy="3592286"/>
            <wp:docPr id="8" name="Picture 8"/>
            <wp:cNvGraphicFramePr>
              <a:graphicFrameLocks noChangeAspect="1"/>
            </wp:cNvGraphicFramePr>
            <a:graphic>
              <a:graphicData uri="http://schemas.openxmlformats.org/drawingml/2006/picture">
                <pic:pic>
                  <pic:nvPicPr>
                    <pic:cNvPr id="0" name="05_residuals_distribution.png"/>
                    <pic:cNvPicPr/>
                  </pic:nvPicPr>
                  <pic:blipFill>
                    <a:blip r:embed="rId16"/>
                    <a:stretch>
                      <a:fillRect/>
                    </a:stretch>
                  </pic:blipFill>
                  <pic:spPr>
                    <a:xfrm>
                      <a:off x="0" y="0"/>
                      <a:ext cx="5029200" cy="3592286"/>
                    </a:xfrm>
                    <a:prstGeom prst="rect"/>
                  </pic:spPr>
                </pic:pic>
              </a:graphicData>
            </a:graphic>
          </wp:inline>
        </w:drawing>
      </w:r>
    </w:p>
    <w:p>
      <w:pPr>
        <w:jc w:val="center"/>
      </w:pPr>
      <w:r>
        <w:t>Figure 8 — Distribution des résidus (4 modèles)</w:t>
      </w:r>
    </w:p>
    <w:p>
      <w:pPr>
        <w:pStyle w:val="Heading2"/>
        <w:jc w:val="left"/>
      </w:pPr>
      <w:r>
        <w:rPr>
          <w:rFonts w:ascii="Calibri" w:hAnsi="Calibri"/>
          <w:color w:val="2563EB"/>
        </w:rPr>
        <w:t>5.4 Analyse des résidus</w:t>
      </w:r>
    </w:p>
    <w:p>
      <w:r>
        <w:t>L'analyse des résidus (y_réel − ŷ) confirme la qualité des prédictions XGBoost : les résidus sont centrés sur 0, symétriquement distribués et sans pattern structuré dans le graphe résidus vs prédictions. Cela indique que le modèle ne souffre d'aucun biais systématique, ni d'hétéroscédasticité notable.</w:t>
      </w:r>
    </w:p>
    <w:p>
      <w:pPr>
        <w:jc w:val="center"/>
      </w:pPr>
      <w:r>
        <w:drawing>
          <wp:inline xmlns:a="http://schemas.openxmlformats.org/drawingml/2006/main" xmlns:pic="http://schemas.openxmlformats.org/drawingml/2006/picture">
            <wp:extent cx="4572000" cy="3265714"/>
            <wp:docPr id="9" name="Picture 9"/>
            <wp:cNvGraphicFramePr>
              <a:graphicFrameLocks noChangeAspect="1"/>
            </wp:cNvGraphicFramePr>
            <a:graphic>
              <a:graphicData uri="http://schemas.openxmlformats.org/drawingml/2006/picture">
                <pic:pic>
                  <pic:nvPicPr>
                    <pic:cNvPr id="0" name="06_residuals_vs_predictions.png"/>
                    <pic:cNvPicPr/>
                  </pic:nvPicPr>
                  <pic:blipFill>
                    <a:blip r:embed="rId17"/>
                    <a:stretch>
                      <a:fillRect/>
                    </a:stretch>
                  </pic:blipFill>
                  <pic:spPr>
                    <a:xfrm>
                      <a:off x="0" y="0"/>
                      <a:ext cx="4572000" cy="3265714"/>
                    </a:xfrm>
                    <a:prstGeom prst="rect"/>
                  </pic:spPr>
                </pic:pic>
              </a:graphicData>
            </a:graphic>
          </wp:inline>
        </w:drawing>
      </w:r>
    </w:p>
    <w:p>
      <w:pPr>
        <w:jc w:val="center"/>
      </w:pPr>
      <w:r>
        <w:t>Figure 9 — Résidus vs Prédictions (4 modèles)</w:t>
      </w:r>
    </w:p>
    <w:p>
      <w:pPr>
        <w:pStyle w:val="Heading2"/>
        <w:jc w:val="left"/>
      </w:pPr>
      <w:r>
        <w:rPr>
          <w:rFonts w:ascii="Calibri" w:hAnsi="Calibri"/>
          <w:color w:val="2563EB"/>
        </w:rPr>
        <w:t>5.5 Analyse comparative — Pourquoi XGBoost ?</w:t>
      </w:r>
    </w:p>
    <w:p>
      <w:r>
        <w:t>Régression Linéaire : le R² de 0.9960 est remarquablement élevé pour un modèle si simple, confirmant la nature quasi-linéaire de la relation TV→Sales. Elle constitue un excellent baseline et reste recommandée pour l'interprétation directe des coefficients.</w:t>
        <w:br/>
        <w:br/>
        <w:t>Random Forest : légèrement supérieur en RMSE test (3.701 vs 3.538 pour XGBoost) mais affiche un Gap R² de +0.0007 (micro-overfitting). Entraînement 2× plus lent que XGBoost.</w:t>
        <w:br/>
        <w:br/>
        <w:t>MLP (Deep Learning) : performances inférieures au baseline linéaire (RMSE 5.983 vs 5.879). Illustration pédagogique cruciale : le Deep Learning n'est pas toujours supérieur. Sur un dataset de cette taille (~4 500 lignes) avec des relations essentiellement linéaires, un réseau de neurones apporte peu de valeur ajoutée.</w:t>
        <w:br/>
        <w:br/>
        <w:t>XGBoost : meilleur RMSE (3.538), zéro overfitting, 3.6s d'entraînement (le plus rapide des modèles complexes). Gradient boosting avec régularisation intégrée, optimal pour les données tabulaires.</w:t>
      </w:r>
    </w:p>
    <w:p>
      <w:r>
        <w:br w:type="page"/>
      </w:r>
    </w:p>
    <w:p>
      <w:pPr>
        <w:pStyle w:val="Heading1"/>
        <w:jc w:val="left"/>
      </w:pPr>
      <w:r>
        <w:rPr>
          <w:rFonts w:ascii="Calibri" w:hAnsi="Calibri"/>
          <w:color w:val="1E3A5F"/>
        </w:rPr>
        <w:t>6. Interprétabilité des prédictions</w:t>
      </w:r>
    </w:p>
    <w:p>
      <w:r>
        <w:t>Trois méthodes complémentaires sont appliquées sur le modèle final XGBoost pour expliquer ses décisions à différents niveaux de granularité.</w:t>
      </w:r>
    </w:p>
    <w:p>
      <w:pPr>
        <w:pStyle w:val="Heading2"/>
        <w:jc w:val="left"/>
      </w:pPr>
      <w:r>
        <w:rPr>
          <w:rFonts w:ascii="Calibri" w:hAnsi="Calibri"/>
          <w:color w:val="2563EB"/>
        </w:rPr>
        <w:t>6.1 Feature Importance native (XGBoost — Gain)</w:t>
      </w:r>
    </w:p>
    <w:p>
      <w:r>
        <w:t>Calculée gratuitement pendant l'entraînement. Mesure la réduction moyenne d'impureté (variance) lors de chaque split utilisant la variable. Rapide mais dépend de la structure des arbres et peut être biaisée en présence de variables corrélées.</w:t>
      </w:r>
    </w:p>
    <w:p>
      <w:pPr>
        <w:jc w:val="center"/>
      </w:pPr>
      <w:r>
        <w:drawing>
          <wp:inline xmlns:a="http://schemas.openxmlformats.org/drawingml/2006/main" xmlns:pic="http://schemas.openxmlformats.org/drawingml/2006/picture">
            <wp:extent cx="4572000" cy="2286000"/>
            <wp:docPr id="10" name="Picture 10"/>
            <wp:cNvGraphicFramePr>
              <a:graphicFrameLocks noChangeAspect="1"/>
            </wp:cNvGraphicFramePr>
            <a:graphic>
              <a:graphicData uri="http://schemas.openxmlformats.org/drawingml/2006/picture">
                <pic:pic>
                  <pic:nvPicPr>
                    <pic:cNvPr id="0" name="08_feature_importance_native.png"/>
                    <pic:cNvPicPr/>
                  </pic:nvPicPr>
                  <pic:blipFill>
                    <a:blip r:embed="rId18"/>
                    <a:stretch>
                      <a:fillRect/>
                    </a:stretch>
                  </pic:blipFill>
                  <pic:spPr>
                    <a:xfrm>
                      <a:off x="0" y="0"/>
                      <a:ext cx="4572000" cy="2286000"/>
                    </a:xfrm>
                    <a:prstGeom prst="rect"/>
                  </pic:spPr>
                </pic:pic>
              </a:graphicData>
            </a:graphic>
          </wp:inline>
        </w:drawing>
      </w:r>
    </w:p>
    <w:p>
      <w:pPr>
        <w:jc w:val="center"/>
      </w:pPr>
      <w:r>
        <w:t>Figure 10 — Feature Importance native XGBoost (Gain)</w:t>
      </w:r>
    </w:p>
    <w:p>
      <w:pPr>
        <w:pStyle w:val="Heading2"/>
        <w:jc w:val="left"/>
      </w:pPr>
      <w:r>
        <w:rPr>
          <w:rFonts w:ascii="Calibri" w:hAnsi="Calibri"/>
          <w:color w:val="2563EB"/>
        </w:rPr>
        <w:t>6.2 Permutation Importance</w:t>
      </w:r>
    </w:p>
    <w:p>
      <w:r>
        <w:t>Méthode agnostique au modèle appliquée sur le test set. Pour chaque variable, on mesure la chute de R² après permutation aléatoire de ses valeurs (10 répétitions). Plus la chute est grande, plus la variable est critique. Avantage : mesure l'impact réel sur la généralisation, pas seulement sur l'entraînement.</w:t>
      </w:r>
    </w:p>
    <w:p>
      <w:pPr>
        <w:jc w:val="center"/>
      </w:pPr>
      <w:r>
        <w:drawing>
          <wp:inline xmlns:a="http://schemas.openxmlformats.org/drawingml/2006/main" xmlns:pic="http://schemas.openxmlformats.org/drawingml/2006/picture">
            <wp:extent cx="4572000" cy="2286000"/>
            <wp:docPr id="11" name="Picture 11"/>
            <wp:cNvGraphicFramePr>
              <a:graphicFrameLocks noChangeAspect="1"/>
            </wp:cNvGraphicFramePr>
            <a:graphic>
              <a:graphicData uri="http://schemas.openxmlformats.org/drawingml/2006/picture">
                <pic:pic>
                  <pic:nvPicPr>
                    <pic:cNvPr id="0" name="09_permutation_importance.png"/>
                    <pic:cNvPicPr/>
                  </pic:nvPicPr>
                  <pic:blipFill>
                    <a:blip r:embed="rId19"/>
                    <a:stretch>
                      <a:fillRect/>
                    </a:stretch>
                  </pic:blipFill>
                  <pic:spPr>
                    <a:xfrm>
                      <a:off x="0" y="0"/>
                      <a:ext cx="4572000" cy="2286000"/>
                    </a:xfrm>
                    <a:prstGeom prst="rect"/>
                  </pic:spPr>
                </pic:pic>
              </a:graphicData>
            </a:graphic>
          </wp:inline>
        </w:drawing>
      </w:r>
    </w:p>
    <w:p>
      <w:pPr>
        <w:jc w:val="center"/>
      </w:pPr>
      <w:r>
        <w:t>Figure 11 — Permutation Importance (chute R² — test set)</w:t>
      </w:r>
    </w:p>
    <w:p>
      <w:pPr>
        <w:pStyle w:val="Heading2"/>
        <w:jc w:val="left"/>
      </w:pPr>
      <w:r>
        <w:rPr>
          <w:rFonts w:ascii="Calibri" w:hAnsi="Calibri"/>
          <w:color w:val="2563EB"/>
        </w:rPr>
        <w:t>6.3 SHAP (SHapley Additive exPlanations)</w:t>
      </w:r>
    </w:p>
    <w:p>
      <w:r>
        <w:t>Méthode la plus avancée, basée sur la théorie des jeux (valeurs de Shapley). TreeExplainer (optimisé pour XGBoost) calcule la contribution de chaque variable à chaque prédiction individuelle. Permet à la fois une vue globale (quelle variable influence le plus en moyenne) et une vue locale (pourquoi cette prédiction précise).</w:t>
      </w:r>
    </w:p>
    <w:p>
      <w:pPr>
        <w:jc w:val="center"/>
      </w:pPr>
      <w:r>
        <w:drawing>
          <wp:inline xmlns:a="http://schemas.openxmlformats.org/drawingml/2006/main" xmlns:pic="http://schemas.openxmlformats.org/drawingml/2006/picture">
            <wp:extent cx="4572000" cy="2388937"/>
            <wp:docPr id="12" name="Picture 12"/>
            <wp:cNvGraphicFramePr>
              <a:graphicFrameLocks noChangeAspect="1"/>
            </wp:cNvGraphicFramePr>
            <a:graphic>
              <a:graphicData uri="http://schemas.openxmlformats.org/drawingml/2006/picture">
                <pic:pic>
                  <pic:nvPicPr>
                    <pic:cNvPr id="0" name="10_shap_importance_bar.png"/>
                    <pic:cNvPicPr/>
                  </pic:nvPicPr>
                  <pic:blipFill>
                    <a:blip r:embed="rId20"/>
                    <a:stretch>
                      <a:fillRect/>
                    </a:stretch>
                  </pic:blipFill>
                  <pic:spPr>
                    <a:xfrm>
                      <a:off x="0" y="0"/>
                      <a:ext cx="4572000" cy="2388937"/>
                    </a:xfrm>
                    <a:prstGeom prst="rect"/>
                  </pic:spPr>
                </pic:pic>
              </a:graphicData>
            </a:graphic>
          </wp:inline>
        </w:drawing>
      </w:r>
    </w:p>
    <w:p>
      <w:pPr>
        <w:jc w:val="center"/>
      </w:pPr>
      <w:r>
        <w:t>Figure 12 — SHAP Importance globale (mean |SHAP value|)</w:t>
      </w:r>
    </w:p>
    <w:p>
      <w:pPr>
        <w:jc w:val="center"/>
      </w:pPr>
      <w:r>
        <w:drawing>
          <wp:inline xmlns:a="http://schemas.openxmlformats.org/drawingml/2006/main" xmlns:pic="http://schemas.openxmlformats.org/drawingml/2006/picture">
            <wp:extent cx="4572000" cy="2494924"/>
            <wp:docPr id="13" name="Picture 13"/>
            <wp:cNvGraphicFramePr>
              <a:graphicFrameLocks noChangeAspect="1"/>
            </wp:cNvGraphicFramePr>
            <a:graphic>
              <a:graphicData uri="http://schemas.openxmlformats.org/drawingml/2006/picture">
                <pic:pic>
                  <pic:nvPicPr>
                    <pic:cNvPr id="0" name="11_shap_beeswarm.png"/>
                    <pic:cNvPicPr/>
                  </pic:nvPicPr>
                  <pic:blipFill>
                    <a:blip r:embed="rId21"/>
                    <a:stretch>
                      <a:fillRect/>
                    </a:stretch>
                  </pic:blipFill>
                  <pic:spPr>
                    <a:xfrm>
                      <a:off x="0" y="0"/>
                      <a:ext cx="4572000" cy="2494924"/>
                    </a:xfrm>
                    <a:prstGeom prst="rect"/>
                  </pic:spPr>
                </pic:pic>
              </a:graphicData>
            </a:graphic>
          </wp:inline>
        </w:drawing>
      </w:r>
    </w:p>
    <w:p>
      <w:pPr>
        <w:jc w:val="center"/>
      </w:pPr>
      <w:r>
        <w:t>Figure 13 — SHAP Beeswarm (impact + direction)</w:t>
      </w:r>
    </w:p>
    <w:p>
      <w:pPr>
        <w:pStyle w:val="Heading2"/>
        <w:jc w:val="left"/>
      </w:pPr>
      <w:r>
        <w:rPr>
          <w:rFonts w:ascii="Calibri" w:hAnsi="Calibri"/>
          <w:color w:val="2563EB"/>
        </w:rPr>
        <w:t>6.4 Synthèse des 3 méthodes</w:t>
      </w:r>
    </w:p>
    <w:tbl>
      <w:tblPr>
        <w:tblStyle w:val="TableGrid"/>
        <w:tblW w:type="auto" w:w="0"/>
        <w:tblLook w:firstColumn="1" w:firstRow="1" w:lastColumn="0" w:lastRow="0" w:noHBand="0" w:noVBand="1" w:val="04A0"/>
      </w:tblPr>
      <w:tblGrid>
        <w:gridCol w:w="2185"/>
        <w:gridCol w:w="2185"/>
        <w:gridCol w:w="2185"/>
        <w:gridCol w:w="2185"/>
      </w:tblGrid>
      <w:tr>
        <w:tc>
          <w:tcPr>
            <w:tcW w:type="dxa" w:w="2185"/>
            <w:shd w:val="clear" w:color="auto" w:fill="1E3A5F"/>
          </w:tcPr>
          <w:p>
            <w:pPr>
              <w:jc w:val="center"/>
            </w:pPr>
            <w:r>
              <w:rPr>
                <w:rFonts w:ascii="Calibri" w:hAnsi="Calibri"/>
                <w:b/>
                <w:color w:val="FFFFFF"/>
                <w:sz w:val="20"/>
              </w:rPr>
              <w:t>Variable</w:t>
            </w:r>
          </w:p>
        </w:tc>
        <w:tc>
          <w:tcPr>
            <w:tcW w:type="dxa" w:w="2185"/>
            <w:shd w:val="clear" w:color="auto" w:fill="1E3A5F"/>
          </w:tcPr>
          <w:p>
            <w:pPr>
              <w:jc w:val="center"/>
            </w:pPr>
            <w:r>
              <w:rPr>
                <w:rFonts w:ascii="Calibri" w:hAnsi="Calibri"/>
                <w:b/>
                <w:color w:val="FFFFFF"/>
                <w:sz w:val="20"/>
              </w:rPr>
              <w:t>Native (%)</w:t>
            </w:r>
          </w:p>
        </w:tc>
        <w:tc>
          <w:tcPr>
            <w:tcW w:type="dxa" w:w="2185"/>
            <w:shd w:val="clear" w:color="auto" w:fill="1E3A5F"/>
          </w:tcPr>
          <w:p>
            <w:pPr>
              <w:jc w:val="center"/>
            </w:pPr>
            <w:r>
              <w:rPr>
                <w:rFonts w:ascii="Calibri" w:hAnsi="Calibri"/>
                <w:b/>
                <w:color w:val="FFFFFF"/>
                <w:sz w:val="20"/>
              </w:rPr>
              <w:t>Permutation (%)</w:t>
            </w:r>
          </w:p>
        </w:tc>
        <w:tc>
          <w:tcPr>
            <w:tcW w:type="dxa" w:w="2185"/>
            <w:shd w:val="clear" w:color="auto" w:fill="1E3A5F"/>
          </w:tcPr>
          <w:p>
            <w:pPr>
              <w:jc w:val="center"/>
            </w:pPr>
            <w:r>
              <w:rPr>
                <w:rFonts w:ascii="Calibri" w:hAnsi="Calibri"/>
                <w:b/>
                <w:color w:val="FFFFFF"/>
                <w:sz w:val="20"/>
              </w:rPr>
              <w:t>SHAP (%)</w:t>
            </w:r>
          </w:p>
        </w:tc>
      </w:tr>
      <w:tr>
        <w:tc>
          <w:tcPr>
            <w:tcW w:type="dxa" w:w="2185"/>
            <w:shd w:val="clear" w:color="auto" w:fill="F1F5F9"/>
          </w:tcPr>
          <w:p>
            <w:pPr>
              <w:jc w:val="center"/>
            </w:pPr>
            <w:r>
              <w:rPr>
                <w:rFonts w:ascii="Calibri" w:hAnsi="Calibri"/>
                <w:b/>
                <w:color w:val="10B981"/>
                <w:sz w:val="20"/>
              </w:rPr>
              <w:t>TV</w:t>
            </w:r>
          </w:p>
        </w:tc>
        <w:tc>
          <w:tcPr>
            <w:tcW w:type="dxa" w:w="2185"/>
            <w:shd w:val="clear" w:color="auto" w:fill="F1F5F9"/>
          </w:tcPr>
          <w:p>
            <w:pPr>
              <w:jc w:val="center"/>
            </w:pPr>
            <w:r>
              <w:rPr>
                <w:rFonts w:ascii="Calibri" w:hAnsi="Calibri"/>
                <w:b/>
                <w:color w:val="10B981"/>
                <w:sz w:val="20"/>
              </w:rPr>
              <w:t>99.52%</w:t>
            </w:r>
          </w:p>
        </w:tc>
        <w:tc>
          <w:tcPr>
            <w:tcW w:type="dxa" w:w="2185"/>
            <w:shd w:val="clear" w:color="auto" w:fill="F1F5F9"/>
          </w:tcPr>
          <w:p>
            <w:pPr>
              <w:jc w:val="center"/>
            </w:pPr>
            <w:r>
              <w:rPr>
                <w:rFonts w:ascii="Calibri" w:hAnsi="Calibri"/>
                <w:b/>
                <w:color w:val="10B981"/>
                <w:sz w:val="20"/>
              </w:rPr>
              <w:t>98.57%</w:t>
            </w:r>
          </w:p>
        </w:tc>
        <w:tc>
          <w:tcPr>
            <w:tcW w:type="dxa" w:w="2185"/>
            <w:shd w:val="clear" w:color="auto" w:fill="F1F5F9"/>
          </w:tcPr>
          <w:p>
            <w:pPr>
              <w:jc w:val="center"/>
            </w:pPr>
            <w:r>
              <w:rPr>
                <w:rFonts w:ascii="Calibri" w:hAnsi="Calibri"/>
                <w:b/>
                <w:color w:val="10B981"/>
                <w:sz w:val="20"/>
              </w:rPr>
              <w:t>95.69%</w:t>
            </w:r>
          </w:p>
        </w:tc>
      </w:tr>
      <w:tr>
        <w:tc>
          <w:tcPr>
            <w:tcW w:type="dxa" w:w="2185"/>
            <w:shd w:val="clear" w:color="auto" w:fill="FFFFFF"/>
          </w:tcPr>
          <w:p>
            <w:pPr>
              <w:jc w:val="center"/>
            </w:pPr>
            <w:r>
              <w:rPr>
                <w:rFonts w:ascii="Calibri" w:hAnsi="Calibri"/>
                <w:sz w:val="20"/>
              </w:rPr>
              <w:t>Radio</w:t>
            </w:r>
          </w:p>
        </w:tc>
        <w:tc>
          <w:tcPr>
            <w:tcW w:type="dxa" w:w="2185"/>
            <w:shd w:val="clear" w:color="auto" w:fill="FFFFFF"/>
          </w:tcPr>
          <w:p>
            <w:pPr>
              <w:jc w:val="center"/>
            </w:pPr>
            <w:r>
              <w:rPr>
                <w:rFonts w:ascii="Calibri" w:hAnsi="Calibri"/>
                <w:sz w:val="20"/>
              </w:rPr>
              <w:t>0.39%</w:t>
            </w:r>
          </w:p>
        </w:tc>
        <w:tc>
          <w:tcPr>
            <w:tcW w:type="dxa" w:w="2185"/>
            <w:shd w:val="clear" w:color="auto" w:fill="FFFFFF"/>
          </w:tcPr>
          <w:p>
            <w:pPr>
              <w:jc w:val="center"/>
            </w:pPr>
            <w:r>
              <w:rPr>
                <w:rFonts w:ascii="Calibri" w:hAnsi="Calibri"/>
                <w:sz w:val="20"/>
              </w:rPr>
              <w:t>1.41%</w:t>
            </w:r>
          </w:p>
        </w:tc>
        <w:tc>
          <w:tcPr>
            <w:tcW w:type="dxa" w:w="2185"/>
            <w:shd w:val="clear" w:color="auto" w:fill="FFFFFF"/>
          </w:tcPr>
          <w:p>
            <w:pPr>
              <w:jc w:val="center"/>
            </w:pPr>
            <w:r>
              <w:rPr>
                <w:rFonts w:ascii="Calibri" w:hAnsi="Calibri"/>
                <w:sz w:val="20"/>
              </w:rPr>
              <w:t>3.71%</w:t>
            </w:r>
          </w:p>
        </w:tc>
      </w:tr>
      <w:tr>
        <w:tc>
          <w:tcPr>
            <w:tcW w:type="dxa" w:w="2185"/>
            <w:shd w:val="clear" w:color="auto" w:fill="F1F5F9"/>
          </w:tcPr>
          <w:p>
            <w:pPr>
              <w:jc w:val="center"/>
            </w:pPr>
            <w:r>
              <w:rPr>
                <w:rFonts w:ascii="Calibri" w:hAnsi="Calibri"/>
                <w:sz w:val="20"/>
              </w:rPr>
              <w:t>Social Media</w:t>
            </w:r>
          </w:p>
        </w:tc>
        <w:tc>
          <w:tcPr>
            <w:tcW w:type="dxa" w:w="2185"/>
            <w:shd w:val="clear" w:color="auto" w:fill="F1F5F9"/>
          </w:tcPr>
          <w:p>
            <w:pPr>
              <w:jc w:val="center"/>
            </w:pPr>
            <w:r>
              <w:rPr>
                <w:rFonts w:ascii="Calibri" w:hAnsi="Calibri"/>
                <w:sz w:val="20"/>
              </w:rPr>
              <w:t>0.02%</w:t>
            </w:r>
          </w:p>
        </w:tc>
        <w:tc>
          <w:tcPr>
            <w:tcW w:type="dxa" w:w="2185"/>
            <w:shd w:val="clear" w:color="auto" w:fill="F1F5F9"/>
          </w:tcPr>
          <w:p>
            <w:pPr>
              <w:jc w:val="center"/>
            </w:pPr>
            <w:r>
              <w:rPr>
                <w:rFonts w:ascii="Calibri" w:hAnsi="Calibri"/>
                <w:sz w:val="20"/>
              </w:rPr>
              <w:t>0.02%</w:t>
            </w:r>
          </w:p>
        </w:tc>
        <w:tc>
          <w:tcPr>
            <w:tcW w:type="dxa" w:w="2185"/>
            <w:shd w:val="clear" w:color="auto" w:fill="F1F5F9"/>
          </w:tcPr>
          <w:p>
            <w:pPr>
              <w:jc w:val="center"/>
            </w:pPr>
            <w:r>
              <w:rPr>
                <w:rFonts w:ascii="Calibri" w:hAnsi="Calibri"/>
                <w:sz w:val="20"/>
              </w:rPr>
              <w:t>0.47%</w:t>
            </w:r>
          </w:p>
        </w:tc>
      </w:tr>
      <w:tr>
        <w:tc>
          <w:tcPr>
            <w:tcW w:type="dxa" w:w="2185"/>
            <w:shd w:val="clear" w:color="auto" w:fill="FFFFFF"/>
          </w:tcPr>
          <w:p>
            <w:pPr>
              <w:jc w:val="center"/>
            </w:pPr>
            <w:r>
              <w:rPr>
                <w:rFonts w:ascii="Calibri" w:hAnsi="Calibri"/>
                <w:sz w:val="20"/>
              </w:rPr>
              <w:t>Influencer</w:t>
            </w:r>
          </w:p>
        </w:tc>
        <w:tc>
          <w:tcPr>
            <w:tcW w:type="dxa" w:w="2185"/>
            <w:shd w:val="clear" w:color="auto" w:fill="FFFFFF"/>
          </w:tcPr>
          <w:p>
            <w:pPr>
              <w:jc w:val="center"/>
            </w:pPr>
            <w:r>
              <w:rPr>
                <w:rFonts w:ascii="Calibri" w:hAnsi="Calibri"/>
                <w:sz w:val="20"/>
              </w:rPr>
              <w:t>0.07%</w:t>
            </w:r>
          </w:p>
        </w:tc>
        <w:tc>
          <w:tcPr>
            <w:tcW w:type="dxa" w:w="2185"/>
            <w:shd w:val="clear" w:color="auto" w:fill="FFFFFF"/>
          </w:tcPr>
          <w:p>
            <w:pPr>
              <w:jc w:val="center"/>
            </w:pPr>
            <w:r>
              <w:rPr>
                <w:rFonts w:ascii="Calibri" w:hAnsi="Calibri"/>
                <w:sz w:val="20"/>
              </w:rPr>
              <w:t>0.00%</w:t>
            </w:r>
          </w:p>
        </w:tc>
        <w:tc>
          <w:tcPr>
            <w:tcW w:type="dxa" w:w="2185"/>
            <w:shd w:val="clear" w:color="auto" w:fill="FFFFFF"/>
          </w:tcPr>
          <w:p>
            <w:pPr>
              <w:jc w:val="center"/>
            </w:pPr>
            <w:r>
              <w:rPr>
                <w:rFonts w:ascii="Calibri" w:hAnsi="Calibri"/>
                <w:sz w:val="20"/>
              </w:rPr>
              <w:t>0.13%</w:t>
            </w:r>
          </w:p>
        </w:tc>
      </w:tr>
    </w:tbl>
    <w:p/>
    <w:p>
      <w:pPr>
        <w:spacing w:before="80" w:after="80"/>
        <w:ind w:left="216" w:right="216"/>
        <w:jc w:val="left"/>
        <w:shd w:val="clear" w:color="auto" w:fill="DBEAFE"/>
      </w:pPr>
      <w:r>
        <w:rPr>
          <w:rFonts w:ascii="Calibri" w:hAnsi="Calibri"/>
          <w:color w:val="1E3A5F"/>
          <w:sz w:val="21"/>
        </w:rPr>
        <w:t>CONVERGENCE DES 3 MÉTHODES : TV domine avec 95-99% d'importance selon la méthode. Radio en second plan (1-4%). Social Media et Influencer négligeables (&lt;1%). Cette convergence est un signal de robustesse de l'analyse — les 3 méthodes indépendantes arrivent à la même conclusion.</w:t>
      </w:r>
    </w:p>
    <w:p>
      <w:pPr>
        <w:jc w:val="center"/>
      </w:pPr>
      <w:r>
        <w:drawing>
          <wp:inline xmlns:a="http://schemas.openxmlformats.org/drawingml/2006/main" xmlns:pic="http://schemas.openxmlformats.org/drawingml/2006/picture">
            <wp:extent cx="5029200" cy="2514600"/>
            <wp:docPr id="14" name="Picture 14"/>
            <wp:cNvGraphicFramePr>
              <a:graphicFrameLocks noChangeAspect="1"/>
            </wp:cNvGraphicFramePr>
            <a:graphic>
              <a:graphicData uri="http://schemas.openxmlformats.org/drawingml/2006/picture">
                <pic:pic>
                  <pic:nvPicPr>
                    <pic:cNvPr id="0" name="13_interpretability_comparison.png"/>
                    <pic:cNvPicPr/>
                  </pic:nvPicPr>
                  <pic:blipFill>
                    <a:blip r:embed="rId22"/>
                    <a:stretch>
                      <a:fillRect/>
                    </a:stretch>
                  </pic:blipFill>
                  <pic:spPr>
                    <a:xfrm>
                      <a:off x="0" y="0"/>
                      <a:ext cx="5029200" cy="2514600"/>
                    </a:xfrm>
                    <a:prstGeom prst="rect"/>
                  </pic:spPr>
                </pic:pic>
              </a:graphicData>
            </a:graphic>
          </wp:inline>
        </w:drawing>
      </w:r>
    </w:p>
    <w:p>
      <w:pPr>
        <w:jc w:val="center"/>
      </w:pPr>
      <w:r>
        <w:t>Figure 14 — Comparaison des 3 méthodes (normalisées)</w:t>
      </w:r>
    </w:p>
    <w:p>
      <w:pPr>
        <w:pStyle w:val="Heading2"/>
        <w:jc w:val="left"/>
      </w:pPr>
      <w:r>
        <w:rPr>
          <w:rFonts w:ascii="Calibri" w:hAnsi="Calibri"/>
          <w:color w:val="2563EB"/>
        </w:rPr>
        <w:t>6.5 Recommandations marketing (SHAP → Décision)</w:t>
      </w:r>
    </w:p>
    <w:p>
      <w:pPr>
        <w:pStyle w:val="ListBullet"/>
      </w:pPr>
      <w:r>
        <w:rPr>
          <w:rFonts w:ascii="Calibri" w:hAnsi="Calibri"/>
          <w:sz w:val="22"/>
        </w:rPr>
        <w:t>PRIORISER les investissements TV — correlation 0.999, 95.69% d'importance SHAP. Levier numéro 1.</w:t>
      </w:r>
    </w:p>
    <w:p>
      <w:pPr>
        <w:pStyle w:val="ListBullet"/>
      </w:pPr>
      <w:r>
        <w:rPr>
          <w:rFonts w:ascii="Calibri" w:hAnsi="Calibri"/>
          <w:sz w:val="22"/>
        </w:rPr>
        <w:t>OPTIMISER la Radio en second plan — impact réel mais marginal par rapport à TV.</w:t>
      </w:r>
    </w:p>
    <w:p>
      <w:pPr>
        <w:pStyle w:val="ListBullet"/>
      </w:pPr>
      <w:r>
        <w:rPr>
          <w:rFonts w:ascii="Calibri" w:hAnsi="Calibri"/>
          <w:sz w:val="22"/>
        </w:rPr>
        <w:t>NE PAS SURINVESTIR en Social Media — impact faible (0.47% SHAP), rendement décroissant.</w:t>
      </w:r>
    </w:p>
    <w:p>
      <w:pPr>
        <w:pStyle w:val="ListBullet"/>
      </w:pPr>
      <w:r>
        <w:rPr>
          <w:rFonts w:ascii="Calibri" w:hAnsi="Calibri"/>
          <w:sz w:val="22"/>
        </w:rPr>
        <w:t>NE PAS SURPAYER pour des Mega influenceurs — impact de 0.13% seulement selon SHAP. Aucune justification ROI.</w:t>
      </w:r>
    </w:p>
    <w:p>
      <w:r>
        <w:br w:type="page"/>
      </w:r>
    </w:p>
    <w:p>
      <w:pPr>
        <w:pStyle w:val="Heading1"/>
        <w:jc w:val="left"/>
      </w:pPr>
      <w:r>
        <w:rPr>
          <w:rFonts w:ascii="Calibri" w:hAnsi="Calibri"/>
          <w:color w:val="1E3A5F"/>
        </w:rPr>
        <w:t>7. Dashboard décisionnel (Streamlit)</w:t>
      </w:r>
    </w:p>
    <w:p>
      <w:r>
        <w:t>Le dashboard Streamlit (dashboard/app.py) constitue l'interface décisionnelle destinée au CMO, responsable marketing ou direction financière. Il est indépendant du code d'entraînement et charge les modèles sérialisés (joblib). Lancement : streamlit run dashboard/app.py</w:t>
      </w:r>
    </w:p>
    <w:tbl>
      <w:tblPr>
        <w:tblStyle w:val="TableGrid"/>
        <w:tblW w:type="auto" w:w="0"/>
        <w:tblLook w:firstColumn="1" w:firstRow="1" w:lastColumn="0" w:lastRow="0" w:noHBand="0" w:noVBand="1" w:val="04A0"/>
      </w:tblPr>
      <w:tblGrid>
        <w:gridCol w:w="4370"/>
        <w:gridCol w:w="4370"/>
      </w:tblGrid>
      <w:tr>
        <w:tc>
          <w:tcPr>
            <w:tcW w:type="dxa" w:w="4370"/>
            <w:shd w:val="clear" w:color="auto" w:fill="1E3A5F"/>
          </w:tcPr>
          <w:p>
            <w:pPr>
              <w:jc w:val="center"/>
            </w:pPr>
            <w:r>
              <w:rPr>
                <w:rFonts w:ascii="Calibri" w:hAnsi="Calibri"/>
                <w:b/>
                <w:color w:val="FFFFFF"/>
                <w:sz w:val="20"/>
              </w:rPr>
              <w:t>Page</w:t>
            </w:r>
          </w:p>
        </w:tc>
        <w:tc>
          <w:tcPr>
            <w:tcW w:type="dxa" w:w="4370"/>
            <w:shd w:val="clear" w:color="auto" w:fill="1E3A5F"/>
          </w:tcPr>
          <w:p>
            <w:pPr>
              <w:jc w:val="center"/>
            </w:pPr>
            <w:r>
              <w:rPr>
                <w:rFonts w:ascii="Calibri" w:hAnsi="Calibri"/>
                <w:b/>
                <w:color w:val="FFFFFF"/>
                <w:sz w:val="20"/>
              </w:rPr>
              <w:t>Contenu</w:t>
            </w:r>
          </w:p>
        </w:tc>
      </w:tr>
      <w:tr>
        <w:tc>
          <w:tcPr>
            <w:tcW w:type="dxa" w:w="4370"/>
            <w:shd w:val="clear" w:color="auto" w:fill="F1F5F9"/>
          </w:tcPr>
          <w:p>
            <w:pPr>
              <w:jc w:val="center"/>
            </w:pPr>
            <w:r>
              <w:rPr>
                <w:rFonts w:ascii="Calibri" w:hAnsi="Calibri"/>
                <w:b/>
                <w:color w:val="10B981"/>
                <w:sz w:val="20"/>
              </w:rPr>
              <w:t>Accueil &amp; KPI</w:t>
            </w:r>
          </w:p>
        </w:tc>
        <w:tc>
          <w:tcPr>
            <w:tcW w:type="dxa" w:w="4370"/>
            <w:shd w:val="clear" w:color="auto" w:fill="F1F5F9"/>
          </w:tcPr>
          <w:p>
            <w:pPr>
              <w:jc w:val="center"/>
            </w:pPr>
            <w:r>
              <w:rPr>
                <w:rFonts w:ascii="Calibri" w:hAnsi="Calibri"/>
                <w:b/>
                <w:color w:val="10B981"/>
                <w:sz w:val="20"/>
              </w:rPr>
              <w:t>4 indicateurs clés, distribution Sales, répartition Influencer, insights CMO</w:t>
            </w:r>
          </w:p>
        </w:tc>
      </w:tr>
      <w:tr>
        <w:tc>
          <w:tcPr>
            <w:tcW w:type="dxa" w:w="4370"/>
            <w:shd w:val="clear" w:color="auto" w:fill="FFFFFF"/>
          </w:tcPr>
          <w:p>
            <w:pPr>
              <w:jc w:val="center"/>
            </w:pPr>
            <w:r>
              <w:rPr>
                <w:rFonts w:ascii="Calibri" w:hAnsi="Calibri"/>
                <w:sz w:val="20"/>
              </w:rPr>
              <w:t>Exploration</w:t>
            </w:r>
          </w:p>
        </w:tc>
        <w:tc>
          <w:tcPr>
            <w:tcW w:type="dxa" w:w="4370"/>
            <w:shd w:val="clear" w:color="auto" w:fill="FFFFFF"/>
          </w:tcPr>
          <w:p>
            <w:pPr>
              <w:jc w:val="center"/>
            </w:pPr>
            <w:r>
              <w:rPr>
                <w:rFonts w:ascii="Calibri" w:hAnsi="Calibri"/>
                <w:sz w:val="20"/>
              </w:rPr>
              <w:t>Filtres interactifs (Influencer, TV, Sales), scatter + boxplot, matrice corrélation</w:t>
            </w:r>
          </w:p>
        </w:tc>
      </w:tr>
      <w:tr>
        <w:tc>
          <w:tcPr>
            <w:tcW w:type="dxa" w:w="4370"/>
            <w:shd w:val="clear" w:color="auto" w:fill="F1F5F9"/>
          </w:tcPr>
          <w:p>
            <w:pPr>
              <w:jc w:val="center"/>
            </w:pPr>
            <w:r>
              <w:rPr>
                <w:rFonts w:ascii="Calibri" w:hAnsi="Calibri"/>
                <w:sz w:val="20"/>
              </w:rPr>
              <w:t>Simulation budgétaire</w:t>
            </w:r>
          </w:p>
        </w:tc>
        <w:tc>
          <w:tcPr>
            <w:tcW w:type="dxa" w:w="4370"/>
            <w:shd w:val="clear" w:color="auto" w:fill="F1F5F9"/>
          </w:tcPr>
          <w:p>
            <w:pPr>
              <w:jc w:val="center"/>
            </w:pPr>
            <w:r>
              <w:rPr>
                <w:rFonts w:ascii="Calibri" w:hAnsi="Calibri"/>
                <w:sz w:val="20"/>
              </w:rPr>
              <w:t>Sliders budgets + Influencer → prédiction temps réel + jauge ROI + histogramme positionnel</w:t>
            </w:r>
          </w:p>
        </w:tc>
      </w:tr>
      <w:tr>
        <w:tc>
          <w:tcPr>
            <w:tcW w:type="dxa" w:w="4370"/>
            <w:shd w:val="clear" w:color="auto" w:fill="FFFFFF"/>
          </w:tcPr>
          <w:p>
            <w:pPr>
              <w:jc w:val="center"/>
            </w:pPr>
            <w:r>
              <w:rPr>
                <w:rFonts w:ascii="Calibri" w:hAnsi="Calibri"/>
                <w:sz w:val="20"/>
              </w:rPr>
              <w:t>Comparaison des modèles</w:t>
            </w:r>
          </w:p>
        </w:tc>
        <w:tc>
          <w:tcPr>
            <w:tcW w:type="dxa" w:w="4370"/>
            <w:shd w:val="clear" w:color="auto" w:fill="FFFFFF"/>
          </w:tcPr>
          <w:p>
            <w:pPr>
              <w:jc w:val="center"/>
            </w:pPr>
            <w:r>
              <w:rPr>
                <w:rFonts w:ascii="Calibri" w:hAnsi="Calibri"/>
                <w:sz w:val="20"/>
              </w:rPr>
              <w:t>Tableau stylé, bar charts RMSE/R², radar chart multi-critères, scatter prédictions vs réelles</w:t>
            </w:r>
          </w:p>
        </w:tc>
      </w:tr>
      <w:tr>
        <w:tc>
          <w:tcPr>
            <w:tcW w:type="dxa" w:w="4370"/>
            <w:shd w:val="clear" w:color="auto" w:fill="F1F5F9"/>
          </w:tcPr>
          <w:p>
            <w:pPr>
              <w:jc w:val="center"/>
            </w:pPr>
            <w:r>
              <w:rPr>
                <w:rFonts w:ascii="Calibri" w:hAnsi="Calibri"/>
                <w:sz w:val="20"/>
              </w:rPr>
              <w:t>Explication SHAP</w:t>
            </w:r>
          </w:p>
        </w:tc>
        <w:tc>
          <w:tcPr>
            <w:tcW w:type="dxa" w:w="4370"/>
            <w:shd w:val="clear" w:color="auto" w:fill="F1F5F9"/>
          </w:tcPr>
          <w:p>
            <w:pPr>
              <w:jc w:val="center"/>
            </w:pPr>
            <w:r>
              <w:rPr>
                <w:rFonts w:ascii="Calibri" w:hAnsi="Calibri"/>
                <w:sz w:val="20"/>
              </w:rPr>
              <w:t>Importance globale 3 méthodes, waterfall local par scénario saisi</w:t>
            </w:r>
          </w:p>
        </w:tc>
      </w:tr>
    </w:tbl>
    <w:p/>
    <w:p>
      <w:r>
        <w:t>Technologies : Python 3.13, Streamlit 1.52, Plotly 5.x, SHAP 0.45, joblib. Toutes les prédictions passent par le pipeline complet (preprocessing + modèle), garantissant une cohérence totale avec l'environnement d'entraînement.</w:t>
      </w:r>
    </w:p>
    <w:p>
      <w:r>
        <w:br w:type="page"/>
      </w:r>
    </w:p>
    <w:p>
      <w:pPr>
        <w:pStyle w:val="Heading1"/>
        <w:jc w:val="left"/>
      </w:pPr>
      <w:r>
        <w:rPr>
          <w:rFonts w:ascii="Calibri" w:hAnsi="Calibri"/>
          <w:color w:val="1E3A5F"/>
        </w:rPr>
        <w:t>8. API REST (FastAPI)</w:t>
      </w:r>
    </w:p>
    <w:p>
      <w:r>
        <w:t>L'API REST expose le modèle XGBoost en tant que service d'inférence. Elle reprend le pipeline complet sérialisé (preprocessing inclus) pour garantir une cohérence parfaite avec l'entraînement. Lancement : uvicorn api.main:app --port 8000</w:t>
        <w:br/>
        <w:t>Documentation Swagger auto : http://localhost:8000/docs</w:t>
      </w:r>
    </w:p>
    <w:tbl>
      <w:tblPr>
        <w:tblStyle w:val="TableGrid"/>
        <w:tblW w:type="auto" w:w="0"/>
        <w:tblLook w:firstColumn="1" w:firstRow="1" w:lastColumn="0" w:lastRow="0" w:noHBand="0" w:noVBand="1" w:val="04A0"/>
      </w:tblPr>
      <w:tblGrid>
        <w:gridCol w:w="2914"/>
        <w:gridCol w:w="2914"/>
        <w:gridCol w:w="2914"/>
      </w:tblGrid>
      <w:tr>
        <w:tc>
          <w:tcPr>
            <w:tcW w:type="dxa" w:w="2914"/>
            <w:shd w:val="clear" w:color="auto" w:fill="1E3A5F"/>
          </w:tcPr>
          <w:p>
            <w:pPr>
              <w:jc w:val="center"/>
            </w:pPr>
            <w:r>
              <w:rPr>
                <w:rFonts w:ascii="Calibri" w:hAnsi="Calibri"/>
                <w:b/>
                <w:color w:val="FFFFFF"/>
                <w:sz w:val="20"/>
              </w:rPr>
              <w:t>Endpoint</w:t>
            </w:r>
          </w:p>
        </w:tc>
        <w:tc>
          <w:tcPr>
            <w:tcW w:type="dxa" w:w="2914"/>
            <w:shd w:val="clear" w:color="auto" w:fill="1E3A5F"/>
          </w:tcPr>
          <w:p>
            <w:pPr>
              <w:jc w:val="center"/>
            </w:pPr>
            <w:r>
              <w:rPr>
                <w:rFonts w:ascii="Calibri" w:hAnsi="Calibri"/>
                <w:b/>
                <w:color w:val="FFFFFF"/>
                <w:sz w:val="20"/>
              </w:rPr>
              <w:t>Méthode</w:t>
            </w:r>
          </w:p>
        </w:tc>
        <w:tc>
          <w:tcPr>
            <w:tcW w:type="dxa" w:w="2914"/>
            <w:shd w:val="clear" w:color="auto" w:fill="1E3A5F"/>
          </w:tcPr>
          <w:p>
            <w:pPr>
              <w:jc w:val="center"/>
            </w:pPr>
            <w:r>
              <w:rPr>
                <w:rFonts w:ascii="Calibri" w:hAnsi="Calibri"/>
                <w:b/>
                <w:color w:val="FFFFFF"/>
                <w:sz w:val="20"/>
              </w:rPr>
              <w:t>Description</w:t>
            </w:r>
          </w:p>
        </w:tc>
      </w:tr>
      <w:tr>
        <w:tc>
          <w:tcPr>
            <w:tcW w:type="dxa" w:w="2914"/>
            <w:shd w:val="clear" w:color="auto" w:fill="F1F5F9"/>
          </w:tcPr>
          <w:p>
            <w:pPr>
              <w:jc w:val="center"/>
            </w:pPr>
            <w:r>
              <w:rPr>
                <w:rFonts w:ascii="Calibri" w:hAnsi="Calibri"/>
                <w:b/>
                <w:color w:val="10B981"/>
                <w:sz w:val="20"/>
              </w:rPr>
              <w:t>/health</w:t>
            </w:r>
          </w:p>
        </w:tc>
        <w:tc>
          <w:tcPr>
            <w:tcW w:type="dxa" w:w="2914"/>
            <w:shd w:val="clear" w:color="auto" w:fill="F1F5F9"/>
          </w:tcPr>
          <w:p>
            <w:pPr>
              <w:jc w:val="center"/>
            </w:pPr>
            <w:r>
              <w:rPr>
                <w:rFonts w:ascii="Calibri" w:hAnsi="Calibri"/>
                <w:b/>
                <w:color w:val="10B981"/>
                <w:sz w:val="20"/>
              </w:rPr>
              <w:t>GET</w:t>
            </w:r>
          </w:p>
        </w:tc>
        <w:tc>
          <w:tcPr>
            <w:tcW w:type="dxa" w:w="2914"/>
            <w:shd w:val="clear" w:color="auto" w:fill="F1F5F9"/>
          </w:tcPr>
          <w:p>
            <w:pPr>
              <w:jc w:val="center"/>
            </w:pPr>
            <w:r>
              <w:rPr>
                <w:rFonts w:ascii="Calibri" w:hAnsi="Calibri"/>
                <w:b/>
                <w:color w:val="10B981"/>
                <w:sz w:val="20"/>
              </w:rPr>
              <w:t>Statut du service + confirmation que le modèle est chargé</w:t>
            </w:r>
          </w:p>
        </w:tc>
      </w:tr>
      <w:tr>
        <w:tc>
          <w:tcPr>
            <w:tcW w:type="dxa" w:w="2914"/>
            <w:shd w:val="clear" w:color="auto" w:fill="FFFFFF"/>
          </w:tcPr>
          <w:p>
            <w:pPr>
              <w:jc w:val="center"/>
            </w:pPr>
            <w:r>
              <w:rPr>
                <w:rFonts w:ascii="Calibri" w:hAnsi="Calibri"/>
                <w:sz w:val="20"/>
              </w:rPr>
              <w:t>/predict</w:t>
            </w:r>
          </w:p>
        </w:tc>
        <w:tc>
          <w:tcPr>
            <w:tcW w:type="dxa" w:w="2914"/>
            <w:shd w:val="clear" w:color="auto" w:fill="FFFFFF"/>
          </w:tcPr>
          <w:p>
            <w:pPr>
              <w:jc w:val="center"/>
            </w:pPr>
            <w:r>
              <w:rPr>
                <w:rFonts w:ascii="Calibri" w:hAnsi="Calibri"/>
                <w:sz w:val="20"/>
              </w:rPr>
              <w:t>POST</w:t>
            </w:r>
          </w:p>
        </w:tc>
        <w:tc>
          <w:tcPr>
            <w:tcW w:type="dxa" w:w="2914"/>
            <w:shd w:val="clear" w:color="auto" w:fill="FFFFFF"/>
          </w:tcPr>
          <w:p>
            <w:pPr>
              <w:jc w:val="center"/>
            </w:pPr>
            <w:r>
              <w:rPr>
                <w:rFonts w:ascii="Calibri" w:hAnsi="Calibri"/>
                <w:sz w:val="20"/>
              </w:rPr>
              <w:t>Prédiction Sales (M$) + ROI estimé à partir de TV, Radio, SM, Influencer</w:t>
            </w:r>
          </w:p>
        </w:tc>
      </w:tr>
      <w:tr>
        <w:tc>
          <w:tcPr>
            <w:tcW w:type="dxa" w:w="2914"/>
            <w:shd w:val="clear" w:color="auto" w:fill="F1F5F9"/>
          </w:tcPr>
          <w:p>
            <w:pPr>
              <w:jc w:val="center"/>
            </w:pPr>
            <w:r>
              <w:rPr>
                <w:rFonts w:ascii="Calibri" w:hAnsi="Calibri"/>
                <w:sz w:val="20"/>
              </w:rPr>
              <w:t>/model-info</w:t>
            </w:r>
          </w:p>
        </w:tc>
        <w:tc>
          <w:tcPr>
            <w:tcW w:type="dxa" w:w="2914"/>
            <w:shd w:val="clear" w:color="auto" w:fill="F1F5F9"/>
          </w:tcPr>
          <w:p>
            <w:pPr>
              <w:jc w:val="center"/>
            </w:pPr>
            <w:r>
              <w:rPr>
                <w:rFonts w:ascii="Calibri" w:hAnsi="Calibri"/>
                <w:sz w:val="20"/>
              </w:rPr>
              <w:t>GET</w:t>
            </w:r>
          </w:p>
        </w:tc>
        <w:tc>
          <w:tcPr>
            <w:tcW w:type="dxa" w:w="2914"/>
            <w:shd w:val="clear" w:color="auto" w:fill="F1F5F9"/>
          </w:tcPr>
          <w:p>
            <w:pPr>
              <w:jc w:val="center"/>
            </w:pPr>
            <w:r>
              <w:rPr>
                <w:rFonts w:ascii="Calibri" w:hAnsi="Calibri"/>
                <w:sz w:val="20"/>
              </w:rPr>
              <w:t>Métriques du modèle en production (RMSE, R², MAPE, features)</w:t>
            </w:r>
          </w:p>
        </w:tc>
      </w:tr>
    </w:tbl>
    <w:p/>
    <w:p>
      <w:r>
        <w:t>Gestion des erreurs : validation Pydantic sur toutes les entrées (valeurs hors plage, Influencer invalide → HTTP 422 avec message explicite). Le modèle est chargé une seule fois au démarrage (pas de rechargement à chaque requête).</w:t>
      </w:r>
    </w:p>
    <w:p>
      <w:r>
        <w:br w:type="page"/>
      </w:r>
    </w:p>
    <w:p>
      <w:pPr>
        <w:pStyle w:val="Heading1"/>
        <w:jc w:val="left"/>
      </w:pPr>
      <w:r>
        <w:rPr>
          <w:rFonts w:ascii="Calibri" w:hAnsi="Calibri"/>
          <w:color w:val="1E3A5F"/>
        </w:rPr>
        <w:t>9. Conclusion et recommandations</w:t>
      </w:r>
    </w:p>
    <w:p>
      <w:pPr>
        <w:pStyle w:val="Heading2"/>
        <w:jc w:val="left"/>
      </w:pPr>
      <w:r>
        <w:rPr>
          <w:rFonts w:ascii="Calibri" w:hAnsi="Calibri"/>
          <w:color w:val="2563EB"/>
        </w:rPr>
        <w:t>9.1 Bilan technique</w:t>
      </w:r>
    </w:p>
    <w:p>
      <w:r>
        <w:t>Ce projet démontre la faisabilité d'un système intelligent complet d'aide à la décision pour l'optimisation marketing. Le pipeline end-to-end — de l'EDA brute à l'API déployable — est opérationnel, reproductible (random_state=42 partout) et exempt de data leakage.</w:t>
        <w:br/>
        <w:br/>
        <w:t>Le modèle XGBoost retenu (RMSE=3.538, R²=0.9985, MAPE=1.84%) est suffisamment précis pour être utilisé en production pour la planification budgétaire. L'analyse SHAP révèle une dépendance quasi exclusive aux budgets TV, ce qui simplifie considérablement les décisions d'allocation.</w:t>
      </w:r>
    </w:p>
    <w:p>
      <w:pPr>
        <w:pStyle w:val="Heading2"/>
        <w:jc w:val="left"/>
      </w:pPr>
      <w:r>
        <w:rPr>
          <w:rFonts w:ascii="Calibri" w:hAnsi="Calibri"/>
          <w:color w:val="2563EB"/>
        </w:rPr>
        <w:t>9.2 Résultat inattendu — Le Deep Learning non supérieur</w:t>
      </w:r>
    </w:p>
    <w:p>
      <w:pPr>
        <w:spacing w:before="80" w:after="80"/>
        <w:ind w:left="216" w:right="216"/>
        <w:jc w:val="left"/>
        <w:shd w:val="clear" w:color="auto" w:fill="FEF3C7"/>
      </w:pPr>
      <w:r>
        <w:rPr>
          <w:rFonts w:ascii="Calibri" w:hAnsi="Calibri"/>
          <w:color w:val="783500"/>
          <w:sz w:val="21"/>
        </w:rPr>
        <w:t>Le MLP (Deep Learning) est le modèle le moins performant (RMSE=5.983), inférieur même à la Régression Linéaire (RMSE=5.879). Ce résultat pédagogiquement important illustre un principe fondamental : le Deep Learning n'est pas universellement supérieur. Sur un dataset tabulaire de ~4 500 lignes avec des relations essentiellement linéaires, les modèles basés sur les arbres sont généralement plus efficaces.</w:t>
      </w:r>
    </w:p>
    <w:p>
      <w:pPr>
        <w:pStyle w:val="Heading2"/>
        <w:jc w:val="left"/>
      </w:pPr>
      <w:r>
        <w:rPr>
          <w:rFonts w:ascii="Calibri" w:hAnsi="Calibri"/>
          <w:color w:val="2563EB"/>
        </w:rPr>
        <w:t>9.3 Perspectives d'amélioration</w:t>
      </w:r>
    </w:p>
    <w:p>
      <w:pPr>
        <w:pStyle w:val="ListBullet"/>
      </w:pPr>
      <w:r>
        <w:rPr>
          <w:rFonts w:ascii="Calibri" w:hAnsi="Calibri"/>
          <w:sz w:val="22"/>
        </w:rPr>
        <w:t>Enrichir le dataset avec des données temporelles pour capturer les effets de saisonnalité</w:t>
      </w:r>
    </w:p>
    <w:p>
      <w:pPr>
        <w:pStyle w:val="ListBullet"/>
      </w:pPr>
      <w:r>
        <w:rPr>
          <w:rFonts w:ascii="Calibri" w:hAnsi="Calibri"/>
          <w:sz w:val="22"/>
        </w:rPr>
        <w:t>Implémenter un monitoring de la dérive des données en production (data drift detection)</w:t>
      </w:r>
    </w:p>
    <w:p>
      <w:pPr>
        <w:pStyle w:val="ListBullet"/>
      </w:pPr>
      <w:r>
        <w:rPr>
          <w:rFonts w:ascii="Calibri" w:hAnsi="Calibri"/>
          <w:sz w:val="22"/>
        </w:rPr>
        <w:t>Tester LightGBM et CatBoost comme alternatives à XGBoost</w:t>
      </w:r>
    </w:p>
    <w:p>
      <w:pPr>
        <w:pStyle w:val="ListBullet"/>
      </w:pPr>
      <w:r>
        <w:rPr>
          <w:rFonts w:ascii="Calibri" w:hAnsi="Calibri"/>
          <w:sz w:val="22"/>
        </w:rPr>
        <w:t>Déployer l'API sur un cloud provider (AWS, Azure, GCP) avec Docker + CI/CD</w:t>
      </w:r>
    </w:p>
    <w:p>
      <w:pPr>
        <w:pStyle w:val="ListBullet"/>
      </w:pPr>
      <w:r>
        <w:rPr>
          <w:rFonts w:ascii="Calibri" w:hAnsi="Calibri"/>
          <w:sz w:val="22"/>
        </w:rPr>
        <w:t>Ajouter une tâche de classification (High/Medium/Low Performance) en complément</w:t>
      </w:r>
    </w:p>
    <w:p>
      <w:r>
        <w:br w:type="page"/>
      </w:r>
    </w:p>
    <w:p>
      <w:pPr>
        <w:pStyle w:val="Heading1"/>
        <w:jc w:val="left"/>
      </w:pPr>
      <w:r>
        <w:rPr>
          <w:rFonts w:ascii="Calibri" w:hAnsi="Calibri"/>
          <w:color w:val="1E3A5F"/>
        </w:rPr>
        <w:t>Références</w:t>
      </w:r>
    </w:p>
    <w:p>
      <w:pPr>
        <w:pStyle w:val="ListBullet"/>
      </w:pPr>
      <w:r>
        <w:rPr>
          <w:rFonts w:ascii="Calibri" w:hAnsi="Calibri"/>
          <w:color w:val="64748B"/>
          <w:sz w:val="20"/>
        </w:rPr>
        <w:t>Kaggle Dataset : harrimansaragih/dummy-advertising-and-sales-data</w:t>
      </w:r>
    </w:p>
    <w:p>
      <w:pPr>
        <w:pStyle w:val="ListBullet"/>
      </w:pPr>
      <w:r>
        <w:rPr>
          <w:rFonts w:ascii="Calibri" w:hAnsi="Calibri"/>
          <w:color w:val="64748B"/>
          <w:sz w:val="20"/>
        </w:rPr>
        <w:t>Scikit-learn Documentation — https://scikit-learn.org</w:t>
      </w:r>
    </w:p>
    <w:p>
      <w:pPr>
        <w:pStyle w:val="ListBullet"/>
      </w:pPr>
      <w:r>
        <w:rPr>
          <w:rFonts w:ascii="Calibri" w:hAnsi="Calibri"/>
          <w:color w:val="64748B"/>
          <w:sz w:val="20"/>
        </w:rPr>
        <w:t>XGBoost Documentation — https://xgboost.readthedocs.io</w:t>
      </w:r>
    </w:p>
    <w:p>
      <w:pPr>
        <w:pStyle w:val="ListBullet"/>
      </w:pPr>
      <w:r>
        <w:rPr>
          <w:rFonts w:ascii="Calibri" w:hAnsi="Calibri"/>
          <w:color w:val="64748B"/>
          <w:sz w:val="20"/>
        </w:rPr>
        <w:t>SHAP Documentation — https://shap.readthedocs.io</w:t>
      </w:r>
    </w:p>
    <w:p>
      <w:pPr>
        <w:pStyle w:val="ListBullet"/>
      </w:pPr>
      <w:r>
        <w:rPr>
          <w:rFonts w:ascii="Calibri" w:hAnsi="Calibri"/>
          <w:color w:val="64748B"/>
          <w:sz w:val="20"/>
        </w:rPr>
        <w:t>Streamlit Documentation — https://docs.streamlit.io</w:t>
      </w:r>
    </w:p>
    <w:p>
      <w:pPr>
        <w:pStyle w:val="ListBullet"/>
      </w:pPr>
      <w:r>
        <w:rPr>
          <w:rFonts w:ascii="Calibri" w:hAnsi="Calibri"/>
          <w:color w:val="64748B"/>
          <w:sz w:val="20"/>
        </w:rPr>
        <w:t>FastAPI Documentation — https://fastapi.tiangolo.com</w:t>
      </w:r>
    </w:p>
    <w:p>
      <w:pPr>
        <w:pStyle w:val="ListBullet"/>
      </w:pPr>
      <w:r>
        <w:rPr>
          <w:rFonts w:ascii="Calibri" w:hAnsi="Calibri"/>
          <w:color w:val="64748B"/>
          <w:sz w:val="20"/>
        </w:rPr>
        <w:t>Lundberg &amp; Lee (2017) — A Unified Approach to Interpreting Model Predictions (SHAP)</w:t>
      </w:r>
    </w:p>
    <w:sectPr w:rsidR="00FC693F" w:rsidRPr="0006063C" w:rsidSect="00034616">
      <w:pgSz w:w="11909" w:h="16834"/>
      <w:pgMar w:top="1584"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