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2545"/>
          <w:sz w:val="46"/>
        </w:rPr>
        <w:t>GATES 0-2 FINAL QA</w:t>
      </w:r>
    </w:p>
    <w:p>
      <w:pPr>
        <w:spacing w:after="280"/>
      </w:pPr>
      <w:r>
        <w:rPr>
          <w:color w:val="464E58"/>
          <w:sz w:val="28"/>
        </w:rPr>
        <w:t>Run 3 evidence report - blocked before authenticated fixture setup</w:t>
      </w:r>
    </w:p>
    <w:p>
      <w:pPr>
        <w:spacing w:after="40"/>
      </w:pPr>
      <w:r>
        <w:rPr>
          <w:b/>
        </w:rPr>
        <w:t xml:space="preserve">Verdict: </w:t>
      </w:r>
      <w:r>
        <w:t>BLOCKED / NOT QUALIFIED</w:t>
      </w:r>
    </w:p>
    <w:p>
      <w:pPr>
        <w:spacing w:after="40"/>
      </w:pPr>
      <w:r>
        <w:rPr>
          <w:b/>
        </w:rPr>
        <w:t xml:space="preserve">Qualified source: </w:t>
      </w:r>
      <w:r>
        <w:t>db3ee0fd53c2ae8e2b88ee85030017a903708b90</w:t>
      </w:r>
    </w:p>
    <w:p>
      <w:pPr>
        <w:spacing w:after="40"/>
      </w:pPr>
      <w:r>
        <w:rPr>
          <w:b/>
        </w:rPr>
        <w:t xml:space="preserve">Qualified tree: </w:t>
      </w:r>
      <w:r>
        <w:t>49fdc867fc4c28f9cf9ddd6b08ccc49cafce5a7a</w:t>
      </w:r>
    </w:p>
    <w:p>
      <w:pPr>
        <w:spacing w:after="40"/>
      </w:pPr>
      <w:r>
        <w:rPr>
          <w:b/>
        </w:rPr>
        <w:t xml:space="preserve">Gate 1 base: </w:t>
      </w:r>
      <w:r>
        <w:t>19830d75bbef47f2b95fa1df35ae7e8f50b6df5e</w:t>
      </w:r>
    </w:p>
    <w:p>
      <w:pPr>
        <w:spacing w:after="40"/>
      </w:pPr>
      <w:r>
        <w:rPr>
          <w:b/>
        </w:rPr>
        <w:t xml:space="preserve">Approved target: </w:t>
      </w:r>
      <w:r>
        <w:t>dev:hallowed-hummingbird-284 (compatibility v1)</w:t>
      </w:r>
    </w:p>
    <w:p>
      <w:pPr>
        <w:pStyle w:val="Heading1"/>
      </w:pPr>
      <w:r>
        <w:t>Executive verdict</w:t>
      </w:r>
    </w:p>
    <w:p>
      <w:r>
        <w:t>RUN 3 is BLOCKED / NOT QUALIFIED. The exact PR stack passed the complete deterministic baseline and current-head protected CI. Independent authenticated qualification could not enter fixture setup because the approved local holy clerk and test Convex credential handoff was absent. The one authoritative Playwright attempt timed out after 120 seconds while ConvexReactClient rejected an empty NEXT_PUBLIC_CONVEX_URL.</w:t>
      </w:r>
    </w:p>
    <w:p>
      <w:r>
        <w:t>Classification: ENVIRONMENT_CONFIGURATION. This is not a repository-remediable product finding, so Luna was not used. No product, test, harness, documentation, generated source, commit, rebase, or stateful Convex change occurred during qualification. Production was neither selected nor used.</w:t>
      </w:r>
    </w:p>
    <w:p>
      <w:pPr>
        <w:pStyle w:val="Heading1"/>
      </w:pPr>
      <w:r>
        <w:t>Qualification identity</w:t>
      </w:r>
    </w:p>
    <w:tbl>
      <w:tblPr>
        <w:tblW w:type="auto" w:w="0"/>
        <w:jc w:val="left"/>
        <w:tblLayout w:type="fixed"/>
        <w:tblLook w:firstColumn="1" w:firstRow="1" w:lastColumn="0" w:lastRow="0" w:noHBand="0" w:noVBand="1" w:val="04A0"/>
      </w:tblPr>
      <w:tblGrid>
        <w:gridCol w:w="4680"/>
        <w:gridCol w:w="4680"/>
      </w:tblGrid>
      <w:tr>
        <w:tc>
          <w:tcPr>
            <w:tcW w:type="dxa" w:w="3096"/>
            <w:vAlign w:val="center"/>
            <w:shd w:fill="F2F4F7"/>
          </w:tcPr>
          <w:p>
            <w:r>
              <w:rPr>
                <w:b/>
              </w:rPr>
              <w:t>Field</w:t>
            </w:r>
          </w:p>
        </w:tc>
        <w:tc>
          <w:tcPr>
            <w:tcW w:type="dxa" w:w="6264"/>
            <w:vAlign w:val="center"/>
            <w:shd w:fill="F2F4F7"/>
          </w:tcPr>
          <w:p>
            <w:r>
              <w:rPr>
                <w:b/>
              </w:rPr>
              <w:t>Value</w:t>
            </w:r>
          </w:p>
        </w:tc>
      </w:tr>
      <w:tr>
        <w:tc>
          <w:tcPr>
            <w:tcW w:type="dxa" w:w="3096"/>
            <w:vAlign w:val="center"/>
          </w:tcPr>
          <w:p>
            <w:r>
              <w:t>QA run</w:t>
            </w:r>
          </w:p>
        </w:tc>
        <w:tc>
          <w:tcPr>
            <w:tcW w:type="dxa" w:w="6264"/>
            <w:vAlign w:val="center"/>
          </w:tcPr>
          <w:p>
            <w:r>
              <w:t>Run 3</w:t>
            </w:r>
          </w:p>
        </w:tc>
      </w:tr>
      <w:tr>
        <w:tc>
          <w:tcPr>
            <w:tcW w:type="dxa" w:w="3096"/>
            <w:vAlign w:val="center"/>
          </w:tcPr>
          <w:p>
            <w:r>
              <w:t>Source SHA</w:t>
            </w:r>
          </w:p>
        </w:tc>
        <w:tc>
          <w:tcPr>
            <w:tcW w:type="dxa" w:w="6264"/>
            <w:vAlign w:val="center"/>
          </w:tcPr>
          <w:p>
            <w:r>
              <w:t>db3ee0fd53c2ae8e2b88ee85030017a903708b90</w:t>
            </w:r>
          </w:p>
        </w:tc>
      </w:tr>
      <w:tr>
        <w:tc>
          <w:tcPr>
            <w:tcW w:type="dxa" w:w="3096"/>
            <w:vAlign w:val="center"/>
          </w:tcPr>
          <w:p>
            <w:r>
              <w:t>Tree SHA</w:t>
            </w:r>
          </w:p>
        </w:tc>
        <w:tc>
          <w:tcPr>
            <w:tcW w:type="dxa" w:w="6264"/>
            <w:vAlign w:val="center"/>
          </w:tcPr>
          <w:p>
            <w:r>
              <w:t>49fdc867fc4c28f9cf9ddd6b08ccc49cafce5a7a</w:t>
            </w:r>
          </w:p>
        </w:tc>
      </w:tr>
      <w:tr>
        <w:tc>
          <w:tcPr>
            <w:tcW w:type="dxa" w:w="3096"/>
            <w:vAlign w:val="center"/>
          </w:tcPr>
          <w:p>
            <w:r>
              <w:t>Gate 1 / PR #36 base</w:t>
            </w:r>
          </w:p>
        </w:tc>
        <w:tc>
          <w:tcPr>
            <w:tcW w:type="dxa" w:w="6264"/>
            <w:vAlign w:val="center"/>
          </w:tcPr>
          <w:p>
            <w:r>
              <w:t>19830d75bbef47f2b95fa1df35ae7e8f50b6df5e</w:t>
            </w:r>
          </w:p>
        </w:tc>
      </w:tr>
      <w:tr>
        <w:tc>
          <w:tcPr>
            <w:tcW w:type="dxa" w:w="3096"/>
            <w:vAlign w:val="center"/>
          </w:tcPr>
          <w:p>
            <w:r>
              <w:t>origin/main</w:t>
            </w:r>
          </w:p>
        </w:tc>
        <w:tc>
          <w:tcPr>
            <w:tcW w:type="dxa" w:w="6264"/>
            <w:vAlign w:val="center"/>
          </w:tcPr>
          <w:p>
            <w:r>
              <w:t>fc95ab2f7e24e8019fbd769333b9bface2561f5e</w:t>
            </w:r>
          </w:p>
        </w:tc>
      </w:tr>
      <w:tr>
        <w:tc>
          <w:tcPr>
            <w:tcW w:type="dxa" w:w="3096"/>
            <w:vAlign w:val="center"/>
          </w:tcPr>
          <w:p>
            <w:r>
              <w:t>Merge base</w:t>
            </w:r>
          </w:p>
        </w:tc>
        <w:tc>
          <w:tcPr>
            <w:tcW w:type="dxa" w:w="6264"/>
            <w:vAlign w:val="center"/>
          </w:tcPr>
          <w:p>
            <w:r>
              <w:t>4382c97b107853964a7439d4e51a6d1f1e5ff35e</w:t>
            </w:r>
          </w:p>
        </w:tc>
      </w:tr>
      <w:tr>
        <w:tc>
          <w:tcPr>
            <w:tcW w:type="dxa" w:w="3096"/>
            <w:vAlign w:val="center"/>
          </w:tcPr>
          <w:p>
            <w:r>
              <w:t>Started</w:t>
            </w:r>
          </w:p>
        </w:tc>
        <w:tc>
          <w:tcPr>
            <w:tcW w:type="dxa" w:w="6264"/>
            <w:vAlign w:val="center"/>
          </w:tcPr>
          <w:p>
            <w:r>
              <w:t>2026-08-26T22:29:12Z</w:t>
            </w:r>
          </w:p>
        </w:tc>
      </w:tr>
    </w:tbl>
    <w:p>
      <w:pPr>
        <w:spacing w:after="40"/>
      </w:pPr>
    </w:p>
    <w:p>
      <w:r>
        <w:t>The stale eb53460c freeze remains historical. Run 2 was genuinely attempted and blocked, so this attempt is honestly Run 3.</w:t>
      </w:r>
    </w:p>
    <w:p>
      <w:pPr>
        <w:pStyle w:val="Heading1"/>
      </w:pPr>
      <w:r>
        <w:t>Current PR stack and CI</w:t>
      </w:r>
    </w:p>
    <w:p>
      <w:r>
        <w:t>GitHub confirmed PR #35 at 19830d75 and PR #36 at db3ee0fd, with PR #36 based exactly on PR #35. CI runs 32977987384 and 32978188067 passed deterministic qualification and authenticated release smoke. Production release was skipped.</w:t>
      </w:r>
    </w:p>
    <w:p>
      <w:pPr>
        <w:pStyle w:val="Heading1"/>
      </w:pPr>
      <w:r>
        <w:t>P0 guard and deterministic baseline</w:t>
      </w:r>
    </w:p>
    <w:p>
      <w:r>
        <w:t>The safe-executor and raw-command policy suites passed. No stateful command was attempted because the test deploy credential was absent. Production involvement and P0 count are both zero.</w:t>
      </w:r>
    </w:p>
    <w:p>
      <w:pPr>
        <w:pStyle w:val="ListBullet"/>
        <w:spacing w:after="80"/>
      </w:pPr>
      <w:r>
        <w:t>npm ci, typecheck, inert-URL production build, and git diff --check passed.</w:t>
      </w:r>
    </w:p>
    <w:p>
      <w:pPr>
        <w:pStyle w:val="ListBullet"/>
        <w:spacing w:after="80"/>
      </w:pPr>
      <w:r>
        <w:t>Unit suite passed: 44 files and 361 tests.</w:t>
      </w:r>
    </w:p>
    <w:p>
      <w:pPr>
        <w:pStyle w:val="ListBullet"/>
        <w:spacing w:after="80"/>
      </w:pPr>
      <w:r>
        <w:t>npm audit --omit=dev passed with 0 vulnerabilities.</w:t>
      </w:r>
    </w:p>
    <w:p>
      <w:pPr>
        <w:pStyle w:val="ListBullet"/>
        <w:spacing w:after="80"/>
      </w:pPr>
      <w:r>
        <w:t>All repository-owned auth-fixture, Convex safety, CI, Gate 1, Gate 2 copy, release, deploy, package, PM2, standalone, verification, and rollback policy scripts passed.</w:t>
      </w:r>
    </w:p>
    <w:p>
      <w:pPr>
        <w:pStyle w:val="Heading1"/>
      </w:pPr>
      <w:r>
        <w:t>Authoritative authenticated attempt</w:t>
      </w:r>
    </w:p>
    <w:p>
      <w:r>
        <w:t>One attempt covered release-smoke, cycle-facts, and cycle-state specs for desktop and mobile. It exited 1 at 2026-08-26T22:33:42Z after the configured 120-second webserver timeout. The environment failed before Clerk handshake, fixture creation, onboarding, pairing, storage state, navigation, mode mutation, server assertions, or browser execution. No diagnostic rerun was used and no flake was recorded.</w:t>
      </w:r>
    </w:p>
    <w:p>
      <w:pPr>
        <w:pStyle w:val="Heading1"/>
      </w:pPr>
      <w:r>
        <w:t>Required result matrix</w:t>
      </w:r>
    </w:p>
    <w:tbl>
      <w:tblPr>
        <w:tblW w:type="auto" w:w="0"/>
        <w:jc w:val="left"/>
        <w:tblLayout w:type="fixed"/>
        <w:tblLook w:firstColumn="1" w:firstRow="1" w:lastColumn="0" w:lastRow="0" w:noHBand="0" w:noVBand="1" w:val="04A0"/>
      </w:tblPr>
      <w:tblGrid>
        <w:gridCol w:w="4680"/>
        <w:gridCol w:w="4680"/>
      </w:tblGrid>
      <w:tr>
        <w:tc>
          <w:tcPr>
            <w:tcW w:type="dxa" w:w="3096"/>
            <w:vAlign w:val="center"/>
            <w:shd w:fill="F2F4F7"/>
          </w:tcPr>
          <w:p>
            <w:r>
              <w:rPr>
                <w:b/>
              </w:rPr>
              <w:t>Area</w:t>
            </w:r>
          </w:p>
        </w:tc>
        <w:tc>
          <w:tcPr>
            <w:tcW w:type="dxa" w:w="6264"/>
            <w:vAlign w:val="center"/>
            <w:shd w:fill="F2F4F7"/>
          </w:tcPr>
          <w:p>
            <w:r>
              <w:rPr>
                <w:b/>
              </w:rPr>
              <w:t>Run 3 result</w:t>
            </w:r>
          </w:p>
        </w:tc>
      </w:tr>
      <w:tr>
        <w:tc>
          <w:tcPr>
            <w:tcW w:type="dxa" w:w="3096"/>
            <w:vAlign w:val="center"/>
          </w:tcPr>
          <w:p>
            <w:r>
              <w:t>Gate 0 desktop/mobile</w:t>
            </w:r>
          </w:p>
        </w:tc>
        <w:tc>
          <w:tcPr>
            <w:tcW w:type="dxa" w:w="6264"/>
            <w:vAlign w:val="center"/>
          </w:tcPr>
          <w:p>
            <w:r>
              <w:t>BLOCKED; zero-skip lanes not reached</w:t>
            </w:r>
          </w:p>
        </w:tc>
      </w:tr>
      <w:tr>
        <w:tc>
          <w:tcPr>
            <w:tcW w:type="dxa" w:w="3096"/>
            <w:vAlign w:val="center"/>
          </w:tcPr>
          <w:p>
            <w:r>
              <w:t>Gate 1 off/on desktop/mobile</w:t>
            </w:r>
          </w:p>
        </w:tc>
        <w:tc>
          <w:tcPr>
            <w:tcW w:type="dxa" w:w="6264"/>
            <w:vAlign w:val="center"/>
          </w:tcPr>
          <w:p>
            <w:r>
              <w:t>BLOCKED; zero-skip lanes not reached</w:t>
            </w:r>
          </w:p>
        </w:tc>
      </w:tr>
      <w:tr>
        <w:tc>
          <w:tcPr>
            <w:tcW w:type="dxa" w:w="3096"/>
            <w:vAlign w:val="center"/>
          </w:tcPr>
          <w:p>
            <w:r>
              <w:t>Gate 2 off/on desktop/mobile</w:t>
            </w:r>
          </w:p>
        </w:tc>
        <w:tc>
          <w:tcPr>
            <w:tcW w:type="dxa" w:w="6264"/>
            <w:vAlign w:val="center"/>
          </w:tcPr>
          <w:p>
            <w:r>
              <w:t>BLOCKED; zero-skip lanes not reached</w:t>
            </w:r>
          </w:p>
        </w:tc>
      </w:tr>
      <w:tr>
        <w:tc>
          <w:tcPr>
            <w:tcW w:type="dxa" w:w="3096"/>
            <w:vAlign w:val="center"/>
          </w:tcPr>
          <w:p>
            <w:r>
              <w:t>QA-001 through QA-005</w:t>
            </w:r>
          </w:p>
        </w:tc>
        <w:tc>
          <w:tcPr>
            <w:tcW w:type="dxa" w:w="6264"/>
            <w:vAlign w:val="center"/>
          </w:tcPr>
          <w:p>
            <w:r>
              <w:t>BLOCKED for runtime reconciliation</w:t>
            </w:r>
          </w:p>
        </w:tc>
      </w:tr>
      <w:tr>
        <w:tc>
          <w:tcPr>
            <w:tcW w:type="dxa" w:w="3096"/>
            <w:vAlign w:val="center"/>
          </w:tcPr>
          <w:p>
            <w:r>
              <w:t>Partner history privacy</w:t>
            </w:r>
          </w:p>
        </w:tc>
        <w:tc>
          <w:tcPr>
            <w:tcW w:type="dxa" w:w="6264"/>
            <w:vAlign w:val="center"/>
          </w:tcPr>
          <w:p>
            <w:r>
              <w:t>BLOCKED before direct server assertions</w:t>
            </w:r>
          </w:p>
        </w:tc>
      </w:tr>
      <w:tr>
        <w:tc>
          <w:tcPr>
            <w:tcW w:type="dxa" w:w="3096"/>
            <w:vAlign w:val="center"/>
          </w:tcPr>
          <w:p>
            <w:r>
              <w:t>Partner cycle-state privacy</w:t>
            </w:r>
          </w:p>
        </w:tc>
        <w:tc>
          <w:tcPr>
            <w:tcW w:type="dxa" w:w="6264"/>
            <w:vAlign w:val="center"/>
          </w:tcPr>
          <w:p>
            <w:r>
              <w:t>BLOCKED before projection assertions</w:t>
            </w:r>
          </w:p>
        </w:tc>
      </w:tr>
      <w:tr>
        <w:tc>
          <w:tcPr>
            <w:tcW w:type="dxa" w:w="3096"/>
            <w:vAlign w:val="center"/>
          </w:tcPr>
          <w:p>
            <w:r>
              <w:t>Cross-gate</w:t>
            </w:r>
          </w:p>
        </w:tc>
        <w:tc>
          <w:tcPr>
            <w:tcW w:type="dxa" w:w="6264"/>
            <w:vAlign w:val="center"/>
          </w:tcPr>
          <w:p>
            <w:r>
              <w:t>BLOCKED before mode transitions</w:t>
            </w:r>
          </w:p>
        </w:tc>
      </w:tr>
      <w:tr>
        <w:tc>
          <w:tcPr>
            <w:tcW w:type="dxa" w:w="3096"/>
            <w:vAlign w:val="center"/>
          </w:tcPr>
          <w:p>
            <w:r>
              <w:t>Manual desktop/mobile</w:t>
            </w:r>
          </w:p>
        </w:tc>
        <w:tc>
          <w:tcPr>
            <w:tcW w:type="dxa" w:w="6264"/>
            <w:vAlign w:val="center"/>
          </w:tcPr>
          <w:p>
            <w:r>
              <w:t>BLOCKED before authenticated browser state</w:t>
            </w:r>
          </w:p>
        </w:tc>
      </w:tr>
    </w:tbl>
    <w:p>
      <w:pPr>
        <w:spacing w:after="40"/>
      </w:pPr>
    </w:p>
    <w:p>
      <w:r>
        <w:br w:type="page"/>
      </w:r>
    </w:p>
    <w:p>
      <w:pPr>
        <w:pStyle w:val="Heading1"/>
      </w:pPr>
      <w:r>
        <w:t>Failure accounting</w:t>
      </w:r>
    </w:p>
    <w:tbl>
      <w:tblPr>
        <w:tblW w:type="auto" w:w="0"/>
        <w:jc w:val="left"/>
        <w:tblLayout w:type="fixed"/>
        <w:tblLook w:firstColumn="1" w:firstRow="1" w:lastColumn="0" w:lastRow="0" w:noHBand="0" w:noVBand="1" w:val="04A0"/>
      </w:tblPr>
      <w:tblGrid>
        <w:gridCol w:w="4680"/>
        <w:gridCol w:w="4680"/>
      </w:tblGrid>
      <w:tr>
        <w:tc>
          <w:tcPr>
            <w:tcW w:type="dxa" w:w="3096"/>
            <w:vAlign w:val="center"/>
            <w:shd w:fill="F2F4F7"/>
          </w:tcPr>
          <w:p>
            <w:r>
              <w:rPr>
                <w:b/>
              </w:rPr>
              <w:t>Metric</w:t>
            </w:r>
          </w:p>
        </w:tc>
        <w:tc>
          <w:tcPr>
            <w:tcW w:type="dxa" w:w="6264"/>
            <w:vAlign w:val="center"/>
            <w:shd w:fill="F2F4F7"/>
          </w:tcPr>
          <w:p>
            <w:r>
              <w:rPr>
                <w:b/>
              </w:rPr>
              <w:t>Count / status</w:t>
            </w:r>
          </w:p>
        </w:tc>
      </w:tr>
      <w:tr>
        <w:tc>
          <w:tcPr>
            <w:tcW w:type="dxa" w:w="3096"/>
            <w:vAlign w:val="center"/>
          </w:tcPr>
          <w:p>
            <w:r>
              <w:t>Classification</w:t>
            </w:r>
          </w:p>
        </w:tc>
        <w:tc>
          <w:tcPr>
            <w:tcW w:type="dxa" w:w="6264"/>
            <w:vAlign w:val="center"/>
          </w:tcPr>
          <w:p>
            <w:r>
              <w:t>ENVIRONMENT_CONFIGURATION</w:t>
            </w:r>
          </w:p>
        </w:tc>
      </w:tr>
      <w:tr>
        <w:tc>
          <w:tcPr>
            <w:tcW w:type="dxa" w:w="3096"/>
            <w:vAlign w:val="center"/>
          </w:tcPr>
          <w:p>
            <w:r>
              <w:t>Repository-remediable findings</w:t>
            </w:r>
          </w:p>
        </w:tc>
        <w:tc>
          <w:tcPr>
            <w:tcW w:type="dxa" w:w="6264"/>
            <w:vAlign w:val="center"/>
          </w:tcPr>
          <w:p>
            <w:r>
              <w:t>0</w:t>
            </w:r>
          </w:p>
        </w:tc>
      </w:tr>
      <w:tr>
        <w:tc>
          <w:tcPr>
            <w:tcW w:type="dxa" w:w="3096"/>
            <w:vAlign w:val="center"/>
          </w:tcPr>
          <w:p>
            <w:r>
              <w:t>Luna</w:t>
            </w:r>
          </w:p>
        </w:tc>
        <w:tc>
          <w:tcPr>
            <w:tcW w:type="dxa" w:w="6264"/>
            <w:vAlign w:val="center"/>
          </w:tcPr>
          <w:p>
            <w:r>
              <w:t>Not used</w:t>
            </w:r>
          </w:p>
        </w:tc>
      </w:tr>
      <w:tr>
        <w:tc>
          <w:tcPr>
            <w:tcW w:type="dxa" w:w="3096"/>
            <w:vAlign w:val="center"/>
          </w:tcPr>
          <w:p>
            <w:r>
              <w:t>Flakes</w:t>
            </w:r>
          </w:p>
        </w:tc>
        <w:tc>
          <w:tcPr>
            <w:tcW w:type="dxa" w:w="6264"/>
            <w:vAlign w:val="center"/>
          </w:tcPr>
          <w:p>
            <w:r>
              <w:t>0</w:t>
            </w:r>
          </w:p>
        </w:tc>
      </w:tr>
      <w:tr>
        <w:tc>
          <w:tcPr>
            <w:tcW w:type="dxa" w:w="3096"/>
            <w:vAlign w:val="center"/>
          </w:tcPr>
          <w:p>
            <w:r>
              <w:t>Unresolved P0</w:t>
            </w:r>
          </w:p>
        </w:tc>
        <w:tc>
          <w:tcPr>
            <w:tcW w:type="dxa" w:w="6264"/>
            <w:vAlign w:val="center"/>
          </w:tcPr>
          <w:p>
            <w:r>
              <w:t>0</w:t>
            </w:r>
          </w:p>
        </w:tc>
      </w:tr>
      <w:tr>
        <w:tc>
          <w:tcPr>
            <w:tcW w:type="dxa" w:w="3096"/>
            <w:vAlign w:val="center"/>
          </w:tcPr>
          <w:p>
            <w:r>
              <w:t>Observed product P1</w:t>
            </w:r>
          </w:p>
        </w:tc>
        <w:tc>
          <w:tcPr>
            <w:tcW w:type="dxa" w:w="6264"/>
            <w:vAlign w:val="center"/>
          </w:tcPr>
          <w:p>
            <w:r>
              <w:t>0</w:t>
            </w:r>
          </w:p>
        </w:tc>
      </w:tr>
      <w:tr>
        <w:tc>
          <w:tcPr>
            <w:tcW w:type="dxa" w:w="3096"/>
            <w:vAlign w:val="center"/>
          </w:tcPr>
          <w:p>
            <w:r>
              <w:t>Required blockers</w:t>
            </w:r>
          </w:p>
        </w:tc>
        <w:tc>
          <w:tcPr>
            <w:tcW w:type="dxa" w:w="6264"/>
            <w:vAlign w:val="center"/>
          </w:tcPr>
          <w:p>
            <w:r>
              <w:t>1</w:t>
            </w:r>
          </w:p>
        </w:tc>
      </w:tr>
    </w:tbl>
    <w:p>
      <w:pPr>
        <w:spacing w:after="40"/>
      </w:pPr>
    </w:p>
    <w:p>
      <w:pPr>
        <w:pStyle w:val="Heading1"/>
      </w:pPr>
      <w:r>
        <w:t>Next action</w:t>
      </w:r>
    </w:p>
    <w:p>
      <w:r>
        <w:t>The environment owner must provide a secret-safe local handoff for the protected cb-connect-auth-test inputs, or add an owner-approved protected workflow that executes the full Gates 0-2 matrix. Then start a new qualification from a newly verified exact PR stack. Do not merge, production deploy, enable D-011, approve D-012, or claim qualification from this run.</w:t>
      </w:r>
    </w:p>
    <w:p>
      <w:pPr>
        <w:pStyle w:val="Heading1"/>
      </w:pPr>
      <w:r>
        <w:t>Final verdict</w:t>
      </w:r>
    </w:p>
    <w:p>
      <w:r>
        <w:t>BLOCKED / NOT QUALIFIED. Deterministic and exact-head CI evidence is green, but independent authenticated Gate 0, Gate 1, Gate 2, privacy, cross-gate, and manual evidence does not exist for Run 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Run 3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70"/>
        <w:sz w:val="18"/>
      </w:rPr>
      <w:t>CB CONNECT | INDEPENDENT RELEASE QUALIFICATION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 Connect Gates 0-2 Final QA Run 3</dc:title>
  <dc:subject>Independent qualification evidence</dc:subject>
  <dc:creator>CB Connect QA</dc:creator>
  <cp:keywords/>
  <dc:description>generated by python-docx</dc:description>
  <cp:lastModifiedBy/>
  <cp:revision>1</cp:revision>
  <dcterms:created xsi:type="dcterms:W3CDTF">2013-12-23T23:15:00Z</dcterms:created>
  <dcterms:modified xsi:type="dcterms:W3CDTF">2013-12-23T23:15:00Z</dcterms:modified>
  <cp:category/>
</cp:coreProperties>
</file>