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Experimental Results: Comparative Analysis of Search and Reranking Models</w:t>
      </w:r>
    </w:p>
    <w:p>
      <w:pPr>
        <w:jc w:val="center"/>
      </w:pPr>
      <w:r>
        <w:rPr>
          <w:sz w:val="24"/>
        </w:rPr>
        <w:t>A Comprehensive Evaluation of Vector Search, BM25, Hybrid Retrieval, and Cross-Lingual Reranking Approaches</w:t>
      </w:r>
    </w:p>
    <w:p/>
    <w:p>
      <w:pPr>
        <w:pStyle w:val="Heading2"/>
      </w:pPr>
      <w:r>
        <w:t>1. Overall Performance Comparison</w:t>
      </w:r>
    </w:p>
    <w:p>
      <w:r>
        <w:t>Table 1 presents the comprehensive performance comparison across all search modes. Metrics include average latency, normalized discounted cumulative gain (NDCG@5 and NDCG@10), mean reciprocal rank (MRR), recall, precision, and F1 score at top-10 results.</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vAlign w:val="center"/>
          </w:tcPr>
          <w:p>
            <w:pPr>
              <w:jc w:val="center"/>
            </w:pPr>
            <w:r>
              <w:rPr>
                <w:b/>
                <w:sz w:val="20"/>
              </w:rPr>
              <w:t>Search Mode</w:t>
            </w:r>
          </w:p>
        </w:tc>
        <w:tc>
          <w:tcPr>
            <w:tcW w:type="dxa" w:w="1081"/>
            <w:vAlign w:val="center"/>
          </w:tcPr>
          <w:p>
            <w:pPr>
              <w:jc w:val="center"/>
            </w:pPr>
            <w:r>
              <w:rPr>
                <w:b/>
                <w:sz w:val="20"/>
              </w:rPr>
              <w:t>Avg. Latency (s)</w:t>
            </w:r>
          </w:p>
        </w:tc>
        <w:tc>
          <w:tcPr>
            <w:tcW w:type="dxa" w:w="1081"/>
            <w:vAlign w:val="center"/>
          </w:tcPr>
          <w:p>
            <w:pPr>
              <w:jc w:val="center"/>
            </w:pPr>
            <w:r>
              <w:rPr>
                <w:b/>
                <w:sz w:val="20"/>
              </w:rPr>
              <w:t>NDCG@5</w:t>
            </w:r>
          </w:p>
        </w:tc>
        <w:tc>
          <w:tcPr>
            <w:tcW w:type="dxa" w:w="1081"/>
            <w:vAlign w:val="center"/>
          </w:tcPr>
          <w:p>
            <w:pPr>
              <w:jc w:val="center"/>
            </w:pPr>
            <w:r>
              <w:rPr>
                <w:b/>
                <w:sz w:val="20"/>
              </w:rPr>
              <w:t>NDCG@10</w:t>
            </w:r>
          </w:p>
        </w:tc>
        <w:tc>
          <w:tcPr>
            <w:tcW w:type="dxa" w:w="1081"/>
            <w:vAlign w:val="center"/>
          </w:tcPr>
          <w:p>
            <w:pPr>
              <w:jc w:val="center"/>
            </w:pPr>
            <w:r>
              <w:rPr>
                <w:b/>
                <w:sz w:val="20"/>
              </w:rPr>
              <w:t>MRR</w:t>
            </w:r>
          </w:p>
        </w:tc>
        <w:tc>
          <w:tcPr>
            <w:tcW w:type="dxa" w:w="1081"/>
            <w:vAlign w:val="center"/>
          </w:tcPr>
          <w:p>
            <w:pPr>
              <w:jc w:val="center"/>
            </w:pPr>
            <w:r>
              <w:rPr>
                <w:b/>
                <w:sz w:val="20"/>
              </w:rPr>
              <w:t>Recall@10</w:t>
            </w:r>
          </w:p>
        </w:tc>
        <w:tc>
          <w:tcPr>
            <w:tcW w:type="dxa" w:w="1081"/>
            <w:vAlign w:val="center"/>
          </w:tcPr>
          <w:p>
            <w:pPr>
              <w:jc w:val="center"/>
            </w:pPr>
            <w:r>
              <w:rPr>
                <w:b/>
                <w:sz w:val="20"/>
              </w:rPr>
              <w:t>Precision@10</w:t>
            </w:r>
          </w:p>
        </w:tc>
        <w:tc>
          <w:tcPr>
            <w:tcW w:type="dxa" w:w="1081"/>
            <w:vAlign w:val="center"/>
          </w:tcPr>
          <w:p>
            <w:pPr>
              <w:jc w:val="center"/>
            </w:pPr>
            <w:r>
              <w:rPr>
                <w:b/>
                <w:sz w:val="20"/>
              </w:rPr>
              <w:t>F1@10</w:t>
            </w:r>
          </w:p>
        </w:tc>
      </w:tr>
      <w:tr>
        <w:tc>
          <w:tcPr>
            <w:tcW w:type="dxa" w:w="1081"/>
            <w:vAlign w:val="center"/>
          </w:tcPr>
          <w:p>
            <w:pPr>
              <w:jc w:val="center"/>
            </w:pPr>
            <w:r>
              <w:rPr>
                <w:sz w:val="18"/>
              </w:rPr>
              <w:t>Pure_Vector</w:t>
            </w:r>
          </w:p>
        </w:tc>
        <w:tc>
          <w:tcPr>
            <w:tcW w:type="dxa" w:w="1081"/>
            <w:vAlign w:val="center"/>
          </w:tcPr>
          <w:p>
            <w:pPr>
              <w:jc w:val="center"/>
            </w:pPr>
            <w:r>
              <w:rPr>
                <w:sz w:val="18"/>
              </w:rPr>
              <w:t>0.041</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r>
      <w:tr>
        <w:tc>
          <w:tcPr>
            <w:tcW w:type="dxa" w:w="1081"/>
            <w:vAlign w:val="center"/>
          </w:tcPr>
          <w:p>
            <w:pPr>
              <w:jc w:val="center"/>
            </w:pPr>
            <w:r>
              <w:rPr>
                <w:sz w:val="18"/>
              </w:rPr>
              <w:t>Pure_BM25</w:t>
            </w:r>
          </w:p>
        </w:tc>
        <w:tc>
          <w:tcPr>
            <w:tcW w:type="dxa" w:w="1081"/>
            <w:vAlign w:val="center"/>
          </w:tcPr>
          <w:p>
            <w:pPr>
              <w:jc w:val="center"/>
            </w:pPr>
            <w:r>
              <w:rPr>
                <w:sz w:val="18"/>
              </w:rPr>
              <w:t>0.007</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c>
          <w:tcPr>
            <w:tcW w:type="dxa" w:w="1081"/>
            <w:vAlign w:val="center"/>
          </w:tcPr>
          <w:p>
            <w:pPr>
              <w:jc w:val="center"/>
            </w:pPr>
            <w:r>
              <w:rPr>
                <w:sz w:val="18"/>
              </w:rPr>
              <w:t>0.0000</w:t>
            </w:r>
          </w:p>
        </w:tc>
      </w:tr>
      <w:tr>
        <w:tc>
          <w:tcPr>
            <w:tcW w:type="dxa" w:w="1081"/>
            <w:vAlign w:val="center"/>
          </w:tcPr>
          <w:p>
            <w:pPr>
              <w:jc w:val="center"/>
            </w:pPr>
            <w:r>
              <w:rPr>
                <w:sz w:val="18"/>
              </w:rPr>
              <w:t>Hybrid_RRF</w:t>
            </w:r>
          </w:p>
        </w:tc>
        <w:tc>
          <w:tcPr>
            <w:tcW w:type="dxa" w:w="1081"/>
            <w:vAlign w:val="center"/>
          </w:tcPr>
          <w:p>
            <w:pPr>
              <w:jc w:val="center"/>
            </w:pPr>
            <w:r>
              <w:rPr>
                <w:sz w:val="18"/>
              </w:rPr>
              <w:t>0.035</w:t>
            </w:r>
          </w:p>
        </w:tc>
        <w:tc>
          <w:tcPr>
            <w:tcW w:type="dxa" w:w="1081"/>
            <w:vAlign w:val="center"/>
          </w:tcPr>
          <w:p>
            <w:pPr>
              <w:jc w:val="center"/>
            </w:pPr>
            <w:r>
              <w:rPr>
                <w:sz w:val="18"/>
              </w:rPr>
              <w:t>0.2665</w:t>
            </w:r>
          </w:p>
        </w:tc>
        <w:tc>
          <w:tcPr>
            <w:tcW w:type="dxa" w:w="1081"/>
            <w:vAlign w:val="center"/>
          </w:tcPr>
          <w:p>
            <w:pPr>
              <w:jc w:val="center"/>
            </w:pPr>
            <w:r>
              <w:rPr>
                <w:sz w:val="18"/>
              </w:rPr>
              <w:t>0.3167</w:t>
            </w:r>
          </w:p>
        </w:tc>
        <w:tc>
          <w:tcPr>
            <w:tcW w:type="dxa" w:w="1081"/>
            <w:vAlign w:val="center"/>
          </w:tcPr>
          <w:p>
            <w:pPr>
              <w:jc w:val="center"/>
            </w:pPr>
            <w:r>
              <w:rPr>
                <w:sz w:val="18"/>
              </w:rPr>
              <w:t>0.4582</w:t>
            </w:r>
          </w:p>
        </w:tc>
        <w:tc>
          <w:tcPr>
            <w:tcW w:type="dxa" w:w="1081"/>
            <w:vAlign w:val="center"/>
          </w:tcPr>
          <w:p>
            <w:pPr>
              <w:jc w:val="center"/>
            </w:pPr>
            <w:r>
              <w:rPr>
                <w:sz w:val="18"/>
              </w:rPr>
              <w:t>0.3333</w:t>
            </w:r>
          </w:p>
        </w:tc>
        <w:tc>
          <w:tcPr>
            <w:tcW w:type="dxa" w:w="1081"/>
            <w:vAlign w:val="center"/>
          </w:tcPr>
          <w:p>
            <w:pPr>
              <w:jc w:val="center"/>
            </w:pPr>
            <w:r>
              <w:rPr>
                <w:sz w:val="18"/>
              </w:rPr>
              <w:t>0.1667</w:t>
            </w:r>
          </w:p>
        </w:tc>
        <w:tc>
          <w:tcPr>
            <w:tcW w:type="dxa" w:w="1081"/>
            <w:vAlign w:val="center"/>
          </w:tcPr>
          <w:p>
            <w:pPr>
              <w:jc w:val="center"/>
            </w:pPr>
            <w:r>
              <w:rPr>
                <w:sz w:val="18"/>
              </w:rPr>
              <w:t>0.2222</w:t>
            </w:r>
          </w:p>
        </w:tc>
      </w:tr>
      <w:tr>
        <w:tc>
          <w:tcPr>
            <w:tcW w:type="dxa" w:w="1081"/>
            <w:vAlign w:val="center"/>
          </w:tcPr>
          <w:p>
            <w:pPr>
              <w:jc w:val="center"/>
            </w:pPr>
            <w:r>
              <w:rPr>
                <w:sz w:val="18"/>
              </w:rPr>
              <w:t>Hybrid_CrossEncoder_L6</w:t>
            </w:r>
          </w:p>
        </w:tc>
        <w:tc>
          <w:tcPr>
            <w:tcW w:type="dxa" w:w="1081"/>
            <w:vAlign w:val="center"/>
          </w:tcPr>
          <w:p>
            <w:pPr>
              <w:jc w:val="center"/>
            </w:pPr>
            <w:r>
              <w:rPr>
                <w:sz w:val="18"/>
              </w:rPr>
              <w:t>2.181</w:t>
            </w:r>
          </w:p>
        </w:tc>
        <w:tc>
          <w:tcPr>
            <w:tcW w:type="dxa" w:w="1081"/>
            <w:vAlign w:val="center"/>
          </w:tcPr>
          <w:p>
            <w:pPr>
              <w:jc w:val="center"/>
            </w:pPr>
            <w:r>
              <w:rPr>
                <w:sz w:val="18"/>
              </w:rPr>
              <w:t>0.2965</w:t>
            </w:r>
          </w:p>
        </w:tc>
        <w:tc>
          <w:tcPr>
            <w:tcW w:type="dxa" w:w="1081"/>
            <w:vAlign w:val="center"/>
          </w:tcPr>
          <w:p>
            <w:pPr>
              <w:jc w:val="center"/>
            </w:pPr>
            <w:r>
              <w:rPr>
                <w:sz w:val="18"/>
              </w:rPr>
              <w:t>0.3543</w:t>
            </w:r>
          </w:p>
        </w:tc>
        <w:tc>
          <w:tcPr>
            <w:tcW w:type="dxa" w:w="1081"/>
            <w:vAlign w:val="center"/>
          </w:tcPr>
          <w:p>
            <w:pPr>
              <w:jc w:val="center"/>
            </w:pPr>
            <w:r>
              <w:rPr>
                <w:sz w:val="18"/>
              </w:rPr>
              <w:t>0.5803</w:t>
            </w:r>
          </w:p>
        </w:tc>
        <w:tc>
          <w:tcPr>
            <w:tcW w:type="dxa" w:w="1081"/>
            <w:vAlign w:val="center"/>
          </w:tcPr>
          <w:p>
            <w:pPr>
              <w:jc w:val="center"/>
            </w:pPr>
            <w:r>
              <w:rPr>
                <w:sz w:val="18"/>
              </w:rPr>
              <w:t>0.3533</w:t>
            </w:r>
          </w:p>
        </w:tc>
        <w:tc>
          <w:tcPr>
            <w:tcW w:type="dxa" w:w="1081"/>
            <w:vAlign w:val="center"/>
          </w:tcPr>
          <w:p>
            <w:pPr>
              <w:jc w:val="center"/>
            </w:pPr>
            <w:r>
              <w:rPr>
                <w:sz w:val="18"/>
              </w:rPr>
              <w:t>0.1767</w:t>
            </w:r>
          </w:p>
        </w:tc>
        <w:tc>
          <w:tcPr>
            <w:tcW w:type="dxa" w:w="1081"/>
            <w:vAlign w:val="center"/>
          </w:tcPr>
          <w:p>
            <w:pPr>
              <w:jc w:val="center"/>
            </w:pPr>
            <w:r>
              <w:rPr>
                <w:sz w:val="18"/>
              </w:rPr>
              <w:t>0.2356</w:t>
            </w:r>
          </w:p>
        </w:tc>
      </w:tr>
      <w:tr>
        <w:tc>
          <w:tcPr>
            <w:tcW w:type="dxa" w:w="1081"/>
            <w:vAlign w:val="center"/>
          </w:tcPr>
          <w:p>
            <w:pPr>
              <w:jc w:val="center"/>
            </w:pPr>
            <w:r>
              <w:rPr>
                <w:sz w:val="18"/>
              </w:rPr>
              <w:t>Hybrid_CrossEncoder_L12</w:t>
            </w:r>
          </w:p>
        </w:tc>
        <w:tc>
          <w:tcPr>
            <w:tcW w:type="dxa" w:w="1081"/>
            <w:vAlign w:val="center"/>
          </w:tcPr>
          <w:p>
            <w:pPr>
              <w:jc w:val="center"/>
            </w:pPr>
            <w:r>
              <w:rPr>
                <w:sz w:val="18"/>
              </w:rPr>
              <w:t>11.301</w:t>
            </w:r>
          </w:p>
        </w:tc>
        <w:tc>
          <w:tcPr>
            <w:tcW w:type="dxa" w:w="1081"/>
            <w:vAlign w:val="center"/>
          </w:tcPr>
          <w:p>
            <w:pPr>
              <w:jc w:val="center"/>
            </w:pPr>
            <w:r>
              <w:rPr>
                <w:sz w:val="18"/>
              </w:rPr>
              <w:t>0.3024</w:t>
            </w:r>
          </w:p>
        </w:tc>
        <w:tc>
          <w:tcPr>
            <w:tcW w:type="dxa" w:w="1081"/>
            <w:vAlign w:val="center"/>
          </w:tcPr>
          <w:p>
            <w:pPr>
              <w:jc w:val="center"/>
            </w:pPr>
            <w:r>
              <w:rPr>
                <w:sz w:val="18"/>
              </w:rPr>
              <w:t>0.3603</w:t>
            </w:r>
          </w:p>
        </w:tc>
        <w:tc>
          <w:tcPr>
            <w:tcW w:type="dxa" w:w="1081"/>
            <w:vAlign w:val="center"/>
          </w:tcPr>
          <w:p>
            <w:pPr>
              <w:jc w:val="center"/>
            </w:pPr>
            <w:r>
              <w:rPr>
                <w:sz w:val="18"/>
              </w:rPr>
              <w:t>0.5940</w:t>
            </w:r>
          </w:p>
        </w:tc>
        <w:tc>
          <w:tcPr>
            <w:tcW w:type="dxa" w:w="1081"/>
            <w:vAlign w:val="center"/>
          </w:tcPr>
          <w:p>
            <w:pPr>
              <w:jc w:val="center"/>
            </w:pPr>
            <w:r>
              <w:rPr>
                <w:sz w:val="18"/>
              </w:rPr>
              <w:t>0.3667</w:t>
            </w:r>
          </w:p>
        </w:tc>
        <w:tc>
          <w:tcPr>
            <w:tcW w:type="dxa" w:w="1081"/>
            <w:vAlign w:val="center"/>
          </w:tcPr>
          <w:p>
            <w:pPr>
              <w:jc w:val="center"/>
            </w:pPr>
            <w:r>
              <w:rPr>
                <w:sz w:val="18"/>
              </w:rPr>
              <w:t>0.1833</w:t>
            </w:r>
          </w:p>
        </w:tc>
        <w:tc>
          <w:tcPr>
            <w:tcW w:type="dxa" w:w="1081"/>
            <w:vAlign w:val="center"/>
          </w:tcPr>
          <w:p>
            <w:pPr>
              <w:jc w:val="center"/>
            </w:pPr>
            <w:r>
              <w:rPr>
                <w:sz w:val="18"/>
              </w:rPr>
              <w:t>0.2444</w:t>
            </w:r>
          </w:p>
        </w:tc>
      </w:tr>
    </w:tbl>
    <w:p/>
    <w:p>
      <w:pPr>
        <w:pStyle w:val="Heading2"/>
      </w:pPr>
      <w:r>
        <w:t>2. Performance by Query Type</w:t>
      </w:r>
    </w:p>
    <w:p>
      <w:r>
        <w:t>Table 2 analyzes performance differences between keyword-based and semantic queries. Keyword queries rely on exact term matching, while semantic queries require understanding of contextual meaning.</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vAlign w:val="center"/>
          </w:tcPr>
          <w:p>
            <w:pPr>
              <w:jc w:val="center"/>
            </w:pPr>
            <w:r>
              <w:rPr>
                <w:b/>
                <w:sz w:val="20"/>
              </w:rPr>
              <w:t>Search Mode</w:t>
            </w:r>
          </w:p>
        </w:tc>
        <w:tc>
          <w:tcPr>
            <w:tcW w:type="dxa" w:w="1235"/>
            <w:vAlign w:val="center"/>
          </w:tcPr>
          <w:p>
            <w:pPr>
              <w:jc w:val="center"/>
            </w:pPr>
            <w:r>
              <w:rPr>
                <w:b/>
                <w:sz w:val="20"/>
              </w:rPr>
              <w:t>Keyword NDCG@10</w:t>
            </w:r>
          </w:p>
        </w:tc>
        <w:tc>
          <w:tcPr>
            <w:tcW w:type="dxa" w:w="1235"/>
            <w:vAlign w:val="center"/>
          </w:tcPr>
          <w:p>
            <w:pPr>
              <w:jc w:val="center"/>
            </w:pPr>
            <w:r>
              <w:rPr>
                <w:b/>
                <w:sz w:val="20"/>
              </w:rPr>
              <w:t>Semantic NDCG@10</w:t>
            </w:r>
          </w:p>
        </w:tc>
        <w:tc>
          <w:tcPr>
            <w:tcW w:type="dxa" w:w="1235"/>
            <w:vAlign w:val="center"/>
          </w:tcPr>
          <w:p>
            <w:pPr>
              <w:jc w:val="center"/>
            </w:pPr>
            <w:r>
              <w:rPr>
                <w:b/>
                <w:sz w:val="20"/>
              </w:rPr>
              <w:t>Keyword MRR</w:t>
            </w:r>
          </w:p>
        </w:tc>
        <w:tc>
          <w:tcPr>
            <w:tcW w:type="dxa" w:w="1235"/>
            <w:vAlign w:val="center"/>
          </w:tcPr>
          <w:p>
            <w:pPr>
              <w:jc w:val="center"/>
            </w:pPr>
            <w:r>
              <w:rPr>
                <w:b/>
                <w:sz w:val="20"/>
              </w:rPr>
              <w:t>Semantic MRR</w:t>
            </w:r>
          </w:p>
        </w:tc>
        <w:tc>
          <w:tcPr>
            <w:tcW w:type="dxa" w:w="1235"/>
            <w:vAlign w:val="center"/>
          </w:tcPr>
          <w:p>
            <w:pPr>
              <w:jc w:val="center"/>
            </w:pPr>
            <w:r>
              <w:rPr>
                <w:b/>
                <w:sz w:val="20"/>
              </w:rPr>
              <w:t>Keyword Latency (s)</w:t>
            </w:r>
          </w:p>
        </w:tc>
        <w:tc>
          <w:tcPr>
            <w:tcW w:type="dxa" w:w="1235"/>
            <w:vAlign w:val="center"/>
          </w:tcPr>
          <w:p>
            <w:pPr>
              <w:jc w:val="center"/>
            </w:pPr>
            <w:r>
              <w:rPr>
                <w:b/>
                <w:sz w:val="20"/>
              </w:rPr>
              <w:t>Semantic Latency (s)</w:t>
            </w:r>
          </w:p>
        </w:tc>
      </w:tr>
      <w:tr>
        <w:tc>
          <w:tcPr>
            <w:tcW w:type="dxa" w:w="1235"/>
            <w:vAlign w:val="center"/>
          </w:tcPr>
          <w:p>
            <w:pPr>
              <w:jc w:val="center"/>
            </w:pPr>
            <w:r>
              <w:rPr>
                <w:sz w:val="18"/>
              </w:rPr>
              <w:t>Pure_Vector</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0.031</w:t>
            </w:r>
          </w:p>
        </w:tc>
        <w:tc>
          <w:tcPr>
            <w:tcW w:type="dxa" w:w="1235"/>
            <w:vAlign w:val="center"/>
          </w:tcPr>
          <w:p>
            <w:pPr>
              <w:jc w:val="center"/>
            </w:pPr>
            <w:r>
              <w:rPr>
                <w:sz w:val="18"/>
              </w:rPr>
              <w:t>0.045</w:t>
            </w:r>
          </w:p>
        </w:tc>
      </w:tr>
      <w:tr>
        <w:tc>
          <w:tcPr>
            <w:tcW w:type="dxa" w:w="1235"/>
            <w:vAlign w:val="center"/>
          </w:tcPr>
          <w:p>
            <w:pPr>
              <w:jc w:val="center"/>
            </w:pPr>
            <w:r>
              <w:rPr>
                <w:sz w:val="18"/>
              </w:rPr>
              <w:t>Pure_BM25</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0.004</w:t>
            </w:r>
          </w:p>
        </w:tc>
        <w:tc>
          <w:tcPr>
            <w:tcW w:type="dxa" w:w="1235"/>
            <w:vAlign w:val="center"/>
          </w:tcPr>
          <w:p>
            <w:pPr>
              <w:jc w:val="center"/>
            </w:pPr>
            <w:r>
              <w:rPr>
                <w:sz w:val="18"/>
              </w:rPr>
              <w:t>0.009</w:t>
            </w:r>
          </w:p>
        </w:tc>
      </w:tr>
      <w:tr>
        <w:tc>
          <w:tcPr>
            <w:tcW w:type="dxa" w:w="1235"/>
            <w:vAlign w:val="center"/>
          </w:tcPr>
          <w:p>
            <w:pPr>
              <w:jc w:val="center"/>
            </w:pPr>
            <w:r>
              <w:rPr>
                <w:sz w:val="18"/>
              </w:rPr>
              <w:t>Hybrid_RRF</w:t>
            </w:r>
          </w:p>
        </w:tc>
        <w:tc>
          <w:tcPr>
            <w:tcW w:type="dxa" w:w="1235"/>
            <w:vAlign w:val="center"/>
          </w:tcPr>
          <w:p>
            <w:pPr>
              <w:jc w:val="center"/>
            </w:pPr>
            <w:r>
              <w:rPr>
                <w:sz w:val="18"/>
              </w:rPr>
              <w:t>0.3303</w:t>
            </w:r>
          </w:p>
        </w:tc>
        <w:tc>
          <w:tcPr>
            <w:tcW w:type="dxa" w:w="1235"/>
            <w:vAlign w:val="center"/>
          </w:tcPr>
          <w:p>
            <w:pPr>
              <w:jc w:val="center"/>
            </w:pPr>
            <w:r>
              <w:rPr>
                <w:sz w:val="18"/>
              </w:rPr>
              <w:t>0.3099</w:t>
            </w:r>
          </w:p>
        </w:tc>
        <w:tc>
          <w:tcPr>
            <w:tcW w:type="dxa" w:w="1235"/>
            <w:vAlign w:val="center"/>
          </w:tcPr>
          <w:p>
            <w:pPr>
              <w:jc w:val="center"/>
            </w:pPr>
            <w:r>
              <w:rPr>
                <w:sz w:val="18"/>
              </w:rPr>
              <w:t>0.5569</w:t>
            </w:r>
          </w:p>
        </w:tc>
        <w:tc>
          <w:tcPr>
            <w:tcW w:type="dxa" w:w="1235"/>
            <w:vAlign w:val="center"/>
          </w:tcPr>
          <w:p>
            <w:pPr>
              <w:jc w:val="center"/>
            </w:pPr>
            <w:r>
              <w:rPr>
                <w:sz w:val="18"/>
              </w:rPr>
              <w:t>0.4088</w:t>
            </w:r>
          </w:p>
        </w:tc>
        <w:tc>
          <w:tcPr>
            <w:tcW w:type="dxa" w:w="1235"/>
            <w:vAlign w:val="center"/>
          </w:tcPr>
          <w:p>
            <w:pPr>
              <w:jc w:val="center"/>
            </w:pPr>
            <w:r>
              <w:rPr>
                <w:sz w:val="18"/>
              </w:rPr>
              <w:t>0.035</w:t>
            </w:r>
          </w:p>
        </w:tc>
        <w:tc>
          <w:tcPr>
            <w:tcW w:type="dxa" w:w="1235"/>
            <w:vAlign w:val="center"/>
          </w:tcPr>
          <w:p>
            <w:pPr>
              <w:jc w:val="center"/>
            </w:pPr>
            <w:r>
              <w:rPr>
                <w:sz w:val="18"/>
              </w:rPr>
              <w:t>0.035</w:t>
            </w:r>
          </w:p>
        </w:tc>
      </w:tr>
      <w:tr>
        <w:tc>
          <w:tcPr>
            <w:tcW w:type="dxa" w:w="1235"/>
            <w:vAlign w:val="center"/>
          </w:tcPr>
          <w:p>
            <w:pPr>
              <w:jc w:val="center"/>
            </w:pPr>
            <w:r>
              <w:rPr>
                <w:sz w:val="18"/>
              </w:rPr>
              <w:t>Hybrid_CrossEncoder_L6</w:t>
            </w:r>
          </w:p>
        </w:tc>
        <w:tc>
          <w:tcPr>
            <w:tcW w:type="dxa" w:w="1235"/>
            <w:vAlign w:val="center"/>
          </w:tcPr>
          <w:p>
            <w:pPr>
              <w:jc w:val="center"/>
            </w:pPr>
            <w:r>
              <w:rPr>
                <w:sz w:val="18"/>
              </w:rPr>
              <w:t>0.3997</w:t>
            </w:r>
          </w:p>
        </w:tc>
        <w:tc>
          <w:tcPr>
            <w:tcW w:type="dxa" w:w="1235"/>
            <w:vAlign w:val="center"/>
          </w:tcPr>
          <w:p>
            <w:pPr>
              <w:jc w:val="center"/>
            </w:pPr>
            <w:r>
              <w:rPr>
                <w:sz w:val="18"/>
              </w:rPr>
              <w:t>0.3317</w:t>
            </w:r>
          </w:p>
        </w:tc>
        <w:tc>
          <w:tcPr>
            <w:tcW w:type="dxa" w:w="1235"/>
            <w:vAlign w:val="center"/>
          </w:tcPr>
          <w:p>
            <w:pPr>
              <w:jc w:val="center"/>
            </w:pPr>
            <w:r>
              <w:rPr>
                <w:sz w:val="18"/>
              </w:rPr>
              <w:t>0.6993</w:t>
            </w:r>
          </w:p>
        </w:tc>
        <w:tc>
          <w:tcPr>
            <w:tcW w:type="dxa" w:w="1235"/>
            <w:vAlign w:val="center"/>
          </w:tcPr>
          <w:p>
            <w:pPr>
              <w:jc w:val="center"/>
            </w:pPr>
            <w:r>
              <w:rPr>
                <w:sz w:val="18"/>
              </w:rPr>
              <w:t>0.5208</w:t>
            </w:r>
          </w:p>
        </w:tc>
        <w:tc>
          <w:tcPr>
            <w:tcW w:type="dxa" w:w="1235"/>
            <w:vAlign w:val="center"/>
          </w:tcPr>
          <w:p>
            <w:pPr>
              <w:jc w:val="center"/>
            </w:pPr>
            <w:r>
              <w:rPr>
                <w:sz w:val="18"/>
              </w:rPr>
              <w:t>1.677</w:t>
            </w:r>
          </w:p>
        </w:tc>
        <w:tc>
          <w:tcPr>
            <w:tcW w:type="dxa" w:w="1235"/>
            <w:vAlign w:val="center"/>
          </w:tcPr>
          <w:p>
            <w:pPr>
              <w:jc w:val="center"/>
            </w:pPr>
            <w:r>
              <w:rPr>
                <w:sz w:val="18"/>
              </w:rPr>
              <w:t>2.434</w:t>
            </w:r>
          </w:p>
        </w:tc>
      </w:tr>
      <w:tr>
        <w:tc>
          <w:tcPr>
            <w:tcW w:type="dxa" w:w="1235"/>
            <w:vAlign w:val="center"/>
          </w:tcPr>
          <w:p>
            <w:pPr>
              <w:jc w:val="center"/>
            </w:pPr>
            <w:r>
              <w:rPr>
                <w:sz w:val="18"/>
              </w:rPr>
              <w:t>Hybrid_CrossEncoder_L12</w:t>
            </w:r>
          </w:p>
        </w:tc>
        <w:tc>
          <w:tcPr>
            <w:tcW w:type="dxa" w:w="1235"/>
            <w:vAlign w:val="center"/>
          </w:tcPr>
          <w:p>
            <w:pPr>
              <w:jc w:val="center"/>
            </w:pPr>
            <w:r>
              <w:rPr>
                <w:sz w:val="18"/>
              </w:rPr>
              <w:t>0.4084</w:t>
            </w:r>
          </w:p>
        </w:tc>
        <w:tc>
          <w:tcPr>
            <w:tcW w:type="dxa" w:w="1235"/>
            <w:vAlign w:val="center"/>
          </w:tcPr>
          <w:p>
            <w:pPr>
              <w:jc w:val="center"/>
            </w:pPr>
            <w:r>
              <w:rPr>
                <w:sz w:val="18"/>
              </w:rPr>
              <w:t>0.3363</w:t>
            </w:r>
          </w:p>
        </w:tc>
        <w:tc>
          <w:tcPr>
            <w:tcW w:type="dxa" w:w="1235"/>
            <w:vAlign w:val="center"/>
          </w:tcPr>
          <w:p>
            <w:pPr>
              <w:jc w:val="center"/>
            </w:pPr>
            <w:r>
              <w:rPr>
                <w:sz w:val="18"/>
              </w:rPr>
              <w:t>0.7676</w:t>
            </w:r>
          </w:p>
        </w:tc>
        <w:tc>
          <w:tcPr>
            <w:tcW w:type="dxa" w:w="1235"/>
            <w:vAlign w:val="center"/>
          </w:tcPr>
          <w:p>
            <w:pPr>
              <w:jc w:val="center"/>
            </w:pPr>
            <w:r>
              <w:rPr>
                <w:sz w:val="18"/>
              </w:rPr>
              <w:t>0.5071</w:t>
            </w:r>
          </w:p>
        </w:tc>
        <w:tc>
          <w:tcPr>
            <w:tcW w:type="dxa" w:w="1235"/>
            <w:vAlign w:val="center"/>
          </w:tcPr>
          <w:p>
            <w:pPr>
              <w:jc w:val="center"/>
            </w:pPr>
            <w:r>
              <w:rPr>
                <w:sz w:val="18"/>
              </w:rPr>
              <w:t>11.438</w:t>
            </w:r>
          </w:p>
        </w:tc>
        <w:tc>
          <w:tcPr>
            <w:tcW w:type="dxa" w:w="1235"/>
            <w:vAlign w:val="center"/>
          </w:tcPr>
          <w:p>
            <w:pPr>
              <w:jc w:val="center"/>
            </w:pPr>
            <w:r>
              <w:rPr>
                <w:sz w:val="18"/>
              </w:rPr>
              <w:t>11.232</w:t>
            </w:r>
          </w:p>
        </w:tc>
      </w:tr>
    </w:tbl>
    <w:p/>
    <w:p>
      <w:pPr>
        <w:pStyle w:val="Heading2"/>
      </w:pPr>
      <w:r>
        <w:t>3. Performance by Query Difficulty</w:t>
      </w:r>
    </w:p>
    <w:p>
      <w:r>
        <w:t>Table 3 evaluates model performance across different query difficulty levels (easy, medium, hard). This analysis reveals how search modes handle queries of varying complexity.</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vAlign w:val="center"/>
          </w:tcPr>
          <w:p>
            <w:pPr>
              <w:jc w:val="center"/>
            </w:pPr>
            <w:r>
              <w:rPr>
                <w:b/>
                <w:sz w:val="20"/>
              </w:rPr>
              <w:t>Search Mode</w:t>
            </w:r>
          </w:p>
        </w:tc>
        <w:tc>
          <w:tcPr>
            <w:tcW w:type="dxa" w:w="1235"/>
            <w:vAlign w:val="center"/>
          </w:tcPr>
          <w:p>
            <w:pPr>
              <w:jc w:val="center"/>
            </w:pPr>
            <w:r>
              <w:rPr>
                <w:b/>
                <w:sz w:val="20"/>
              </w:rPr>
              <w:t>Easy NDCG@10</w:t>
            </w:r>
          </w:p>
        </w:tc>
        <w:tc>
          <w:tcPr>
            <w:tcW w:type="dxa" w:w="1235"/>
            <w:vAlign w:val="center"/>
          </w:tcPr>
          <w:p>
            <w:pPr>
              <w:jc w:val="center"/>
            </w:pPr>
            <w:r>
              <w:rPr>
                <w:b/>
                <w:sz w:val="20"/>
              </w:rPr>
              <w:t>Medium NDCG@10</w:t>
            </w:r>
          </w:p>
        </w:tc>
        <w:tc>
          <w:tcPr>
            <w:tcW w:type="dxa" w:w="1235"/>
            <w:vAlign w:val="center"/>
          </w:tcPr>
          <w:p>
            <w:pPr>
              <w:jc w:val="center"/>
            </w:pPr>
            <w:r>
              <w:rPr>
                <w:b/>
                <w:sz w:val="20"/>
              </w:rPr>
              <w:t>Hard NDCG@10</w:t>
            </w:r>
          </w:p>
        </w:tc>
        <w:tc>
          <w:tcPr>
            <w:tcW w:type="dxa" w:w="1235"/>
            <w:vAlign w:val="center"/>
          </w:tcPr>
          <w:p>
            <w:pPr>
              <w:jc w:val="center"/>
            </w:pPr>
            <w:r>
              <w:rPr>
                <w:b/>
                <w:sz w:val="20"/>
              </w:rPr>
              <w:t>Easy MRR</w:t>
            </w:r>
          </w:p>
        </w:tc>
        <w:tc>
          <w:tcPr>
            <w:tcW w:type="dxa" w:w="1235"/>
            <w:vAlign w:val="center"/>
          </w:tcPr>
          <w:p>
            <w:pPr>
              <w:jc w:val="center"/>
            </w:pPr>
            <w:r>
              <w:rPr>
                <w:b/>
                <w:sz w:val="20"/>
              </w:rPr>
              <w:t>Medium MRR</w:t>
            </w:r>
          </w:p>
        </w:tc>
        <w:tc>
          <w:tcPr>
            <w:tcW w:type="dxa" w:w="1235"/>
            <w:vAlign w:val="center"/>
          </w:tcPr>
          <w:p>
            <w:pPr>
              <w:jc w:val="center"/>
            </w:pPr>
            <w:r>
              <w:rPr>
                <w:b/>
                <w:sz w:val="20"/>
              </w:rPr>
              <w:t>Hard MRR</w:t>
            </w:r>
          </w:p>
        </w:tc>
      </w:tr>
      <w:tr>
        <w:tc>
          <w:tcPr>
            <w:tcW w:type="dxa" w:w="1235"/>
            <w:vAlign w:val="center"/>
          </w:tcPr>
          <w:p>
            <w:pPr>
              <w:jc w:val="center"/>
            </w:pPr>
            <w:r>
              <w:rPr>
                <w:sz w:val="18"/>
              </w:rPr>
              <w:t>Pure_Vector</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Pure_BM25</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Hybrid_RRF</w:t>
            </w:r>
          </w:p>
        </w:tc>
        <w:tc>
          <w:tcPr>
            <w:tcW w:type="dxa" w:w="1235"/>
            <w:vAlign w:val="center"/>
          </w:tcPr>
          <w:p>
            <w:pPr>
              <w:jc w:val="center"/>
            </w:pPr>
            <w:r>
              <w:rPr>
                <w:sz w:val="18"/>
              </w:rPr>
              <w:t>0.2818</w:t>
            </w:r>
          </w:p>
        </w:tc>
        <w:tc>
          <w:tcPr>
            <w:tcW w:type="dxa" w:w="1235"/>
            <w:vAlign w:val="center"/>
          </w:tcPr>
          <w:p>
            <w:pPr>
              <w:jc w:val="center"/>
            </w:pPr>
            <w:r>
              <w:rPr>
                <w:sz w:val="18"/>
              </w:rPr>
              <w:t>0.3248</w:t>
            </w:r>
          </w:p>
        </w:tc>
        <w:tc>
          <w:tcPr>
            <w:tcW w:type="dxa" w:w="1235"/>
            <w:vAlign w:val="center"/>
          </w:tcPr>
          <w:p>
            <w:pPr>
              <w:jc w:val="center"/>
            </w:pPr>
            <w:r>
              <w:rPr>
                <w:sz w:val="18"/>
              </w:rPr>
              <w:t>0.3562</w:t>
            </w:r>
          </w:p>
        </w:tc>
        <w:tc>
          <w:tcPr>
            <w:tcW w:type="dxa" w:w="1235"/>
            <w:vAlign w:val="center"/>
          </w:tcPr>
          <w:p>
            <w:pPr>
              <w:jc w:val="center"/>
            </w:pPr>
            <w:r>
              <w:rPr>
                <w:sz w:val="18"/>
              </w:rPr>
              <w:t>0.4569</w:t>
            </w:r>
          </w:p>
        </w:tc>
        <w:tc>
          <w:tcPr>
            <w:tcW w:type="dxa" w:w="1235"/>
            <w:vAlign w:val="center"/>
          </w:tcPr>
          <w:p>
            <w:pPr>
              <w:jc w:val="center"/>
            </w:pPr>
            <w:r>
              <w:rPr>
                <w:sz w:val="18"/>
              </w:rPr>
              <w:t>0.4769</w:t>
            </w:r>
          </w:p>
        </w:tc>
        <w:tc>
          <w:tcPr>
            <w:tcW w:type="dxa" w:w="1235"/>
            <w:vAlign w:val="center"/>
          </w:tcPr>
          <w:p>
            <w:pPr>
              <w:jc w:val="center"/>
            </w:pPr>
            <w:r>
              <w:rPr>
                <w:sz w:val="18"/>
              </w:rPr>
              <w:t>0.4167</w:t>
            </w:r>
          </w:p>
        </w:tc>
      </w:tr>
      <w:tr>
        <w:tc>
          <w:tcPr>
            <w:tcW w:type="dxa" w:w="1235"/>
            <w:vAlign w:val="center"/>
          </w:tcPr>
          <w:p>
            <w:pPr>
              <w:jc w:val="center"/>
            </w:pPr>
            <w:r>
              <w:rPr>
                <w:sz w:val="18"/>
              </w:rPr>
              <w:t>Hybrid_CrossEncoder_L6</w:t>
            </w:r>
          </w:p>
        </w:tc>
        <w:tc>
          <w:tcPr>
            <w:tcW w:type="dxa" w:w="1235"/>
            <w:vAlign w:val="center"/>
          </w:tcPr>
          <w:p>
            <w:pPr>
              <w:jc w:val="center"/>
            </w:pPr>
            <w:r>
              <w:rPr>
                <w:sz w:val="18"/>
              </w:rPr>
              <w:t>0.3851</w:t>
            </w:r>
          </w:p>
        </w:tc>
        <w:tc>
          <w:tcPr>
            <w:tcW w:type="dxa" w:w="1235"/>
            <w:vAlign w:val="center"/>
          </w:tcPr>
          <w:p>
            <w:pPr>
              <w:jc w:val="center"/>
            </w:pPr>
            <w:r>
              <w:rPr>
                <w:sz w:val="18"/>
              </w:rPr>
              <w:t>0.3135</w:t>
            </w:r>
          </w:p>
        </w:tc>
        <w:tc>
          <w:tcPr>
            <w:tcW w:type="dxa" w:w="1235"/>
            <w:vAlign w:val="center"/>
          </w:tcPr>
          <w:p>
            <w:pPr>
              <w:jc w:val="center"/>
            </w:pPr>
            <w:r>
              <w:rPr>
                <w:sz w:val="18"/>
              </w:rPr>
              <w:t>0.3984</w:t>
            </w:r>
          </w:p>
        </w:tc>
        <w:tc>
          <w:tcPr>
            <w:tcW w:type="dxa" w:w="1235"/>
            <w:vAlign w:val="center"/>
          </w:tcPr>
          <w:p>
            <w:pPr>
              <w:jc w:val="center"/>
            </w:pPr>
            <w:r>
              <w:rPr>
                <w:sz w:val="18"/>
              </w:rPr>
              <w:t>0.6743</w:t>
            </w:r>
          </w:p>
        </w:tc>
        <w:tc>
          <w:tcPr>
            <w:tcW w:type="dxa" w:w="1235"/>
            <w:vAlign w:val="center"/>
          </w:tcPr>
          <w:p>
            <w:pPr>
              <w:jc w:val="center"/>
            </w:pPr>
            <w:r>
              <w:rPr>
                <w:sz w:val="18"/>
              </w:rPr>
              <w:t>0.5000</w:t>
            </w:r>
          </w:p>
        </w:tc>
        <w:tc>
          <w:tcPr>
            <w:tcW w:type="dxa" w:w="1235"/>
            <w:vAlign w:val="center"/>
          </w:tcPr>
          <w:p>
            <w:pPr>
              <w:jc w:val="center"/>
            </w:pPr>
            <w:r>
              <w:rPr>
                <w:sz w:val="18"/>
              </w:rPr>
              <w:t>0.6111</w:t>
            </w:r>
          </w:p>
        </w:tc>
      </w:tr>
      <w:tr>
        <w:tc>
          <w:tcPr>
            <w:tcW w:type="dxa" w:w="1235"/>
            <w:vAlign w:val="center"/>
          </w:tcPr>
          <w:p>
            <w:pPr>
              <w:jc w:val="center"/>
            </w:pPr>
            <w:r>
              <w:rPr>
                <w:sz w:val="18"/>
              </w:rPr>
              <w:t>Hybrid_CrossEncoder_L12</w:t>
            </w:r>
          </w:p>
        </w:tc>
        <w:tc>
          <w:tcPr>
            <w:tcW w:type="dxa" w:w="1235"/>
            <w:vAlign w:val="center"/>
          </w:tcPr>
          <w:p>
            <w:pPr>
              <w:jc w:val="center"/>
            </w:pPr>
            <w:r>
              <w:rPr>
                <w:sz w:val="18"/>
              </w:rPr>
              <w:t>0.3914</w:t>
            </w:r>
          </w:p>
        </w:tc>
        <w:tc>
          <w:tcPr>
            <w:tcW w:type="dxa" w:w="1235"/>
            <w:vAlign w:val="center"/>
          </w:tcPr>
          <w:p>
            <w:pPr>
              <w:jc w:val="center"/>
            </w:pPr>
            <w:r>
              <w:rPr>
                <w:sz w:val="18"/>
              </w:rPr>
              <w:t>0.3334</w:t>
            </w:r>
          </w:p>
        </w:tc>
        <w:tc>
          <w:tcPr>
            <w:tcW w:type="dxa" w:w="1235"/>
            <w:vAlign w:val="center"/>
          </w:tcPr>
          <w:p>
            <w:pPr>
              <w:jc w:val="center"/>
            </w:pPr>
            <w:r>
              <w:rPr>
                <w:sz w:val="18"/>
              </w:rPr>
              <w:t>0.3714</w:t>
            </w:r>
          </w:p>
        </w:tc>
        <w:tc>
          <w:tcPr>
            <w:tcW w:type="dxa" w:w="1235"/>
            <w:vAlign w:val="center"/>
          </w:tcPr>
          <w:p>
            <w:pPr>
              <w:jc w:val="center"/>
            </w:pPr>
            <w:r>
              <w:rPr>
                <w:sz w:val="18"/>
              </w:rPr>
              <w:t>0.7343</w:t>
            </w:r>
          </w:p>
        </w:tc>
        <w:tc>
          <w:tcPr>
            <w:tcW w:type="dxa" w:w="1235"/>
            <w:vAlign w:val="center"/>
          </w:tcPr>
          <w:p>
            <w:pPr>
              <w:jc w:val="center"/>
            </w:pPr>
            <w:r>
              <w:rPr>
                <w:sz w:val="18"/>
              </w:rPr>
              <w:t>0.4923</w:t>
            </w:r>
          </w:p>
        </w:tc>
        <w:tc>
          <w:tcPr>
            <w:tcW w:type="dxa" w:w="1235"/>
            <w:vAlign w:val="center"/>
          </w:tcPr>
          <w:p>
            <w:pPr>
              <w:jc w:val="center"/>
            </w:pPr>
            <w:r>
              <w:rPr>
                <w:sz w:val="18"/>
              </w:rPr>
              <w:t>0.5972</w:t>
            </w:r>
          </w:p>
        </w:tc>
      </w:tr>
    </w:tbl>
    <w:p/>
    <w:p>
      <w:pPr>
        <w:pStyle w:val="Heading2"/>
      </w:pPr>
      <w:r>
        <w:t>4. Ablation Study</w:t>
      </w:r>
    </w:p>
    <w:p>
      <w:r>
        <w:t>Table 4 presents an ablation study demonstrating the incremental impact of each component in the hybrid retrieval pipeline. Starting from vector-only search, we progressively add BM25, RRF fusion, and CrossEncoder reranking.</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vAlign w:val="center"/>
          </w:tcPr>
          <w:p>
            <w:pPr>
              <w:jc w:val="center"/>
            </w:pPr>
            <w:r>
              <w:rPr>
                <w:b/>
                <w:sz w:val="20"/>
              </w:rPr>
              <w:t>Configuration</w:t>
            </w:r>
          </w:p>
        </w:tc>
        <w:tc>
          <w:tcPr>
            <w:tcW w:type="dxa" w:w="1729"/>
            <w:vAlign w:val="center"/>
          </w:tcPr>
          <w:p>
            <w:pPr>
              <w:jc w:val="center"/>
            </w:pPr>
            <w:r>
              <w:rPr>
                <w:b/>
                <w:sz w:val="20"/>
              </w:rPr>
              <w:t>NDCG@10</w:t>
            </w:r>
          </w:p>
        </w:tc>
        <w:tc>
          <w:tcPr>
            <w:tcW w:type="dxa" w:w="1729"/>
            <w:vAlign w:val="center"/>
          </w:tcPr>
          <w:p>
            <w:pPr>
              <w:jc w:val="center"/>
            </w:pPr>
            <w:r>
              <w:rPr>
                <w:b/>
                <w:sz w:val="20"/>
              </w:rPr>
              <w:t>MRR</w:t>
            </w:r>
          </w:p>
        </w:tc>
        <w:tc>
          <w:tcPr>
            <w:tcW w:type="dxa" w:w="1729"/>
            <w:vAlign w:val="center"/>
          </w:tcPr>
          <w:p>
            <w:pPr>
              <w:jc w:val="center"/>
            </w:pPr>
            <w:r>
              <w:rPr>
                <w:b/>
                <w:sz w:val="20"/>
              </w:rPr>
              <w:t>Latency (s)</w:t>
            </w:r>
          </w:p>
        </w:tc>
        <w:tc>
          <w:tcPr>
            <w:tcW w:type="dxa" w:w="1729"/>
            <w:vAlign w:val="center"/>
          </w:tcPr>
          <w:p>
            <w:pPr>
              <w:jc w:val="center"/>
            </w:pPr>
            <w:r>
              <w:rPr>
                <w:b/>
                <w:sz w:val="20"/>
              </w:rPr>
              <w:t>Performance Gain</w:t>
            </w:r>
          </w:p>
        </w:tc>
      </w:tr>
      <w:tr>
        <w:tc>
          <w:tcPr>
            <w:tcW w:type="dxa" w:w="1729"/>
            <w:vAlign w:val="center"/>
          </w:tcPr>
          <w:p>
            <w:pPr>
              <w:jc w:val="center"/>
            </w:pPr>
            <w:r>
              <w:rPr>
                <w:sz w:val="18"/>
              </w:rPr>
              <w:t>Vector Only</w:t>
            </w:r>
          </w:p>
        </w:tc>
        <w:tc>
          <w:tcPr>
            <w:tcW w:type="dxa" w:w="1729"/>
            <w:vAlign w:val="center"/>
          </w:tcPr>
          <w:p>
            <w:pPr>
              <w:jc w:val="center"/>
            </w:pPr>
            <w:r>
              <w:rPr>
                <w:sz w:val="18"/>
              </w:rPr>
              <w:t>0.0000</w:t>
            </w:r>
          </w:p>
        </w:tc>
        <w:tc>
          <w:tcPr>
            <w:tcW w:type="dxa" w:w="1729"/>
            <w:vAlign w:val="center"/>
          </w:tcPr>
          <w:p>
            <w:pPr>
              <w:jc w:val="center"/>
            </w:pPr>
            <w:r>
              <w:rPr>
                <w:sz w:val="18"/>
              </w:rPr>
              <w:t>0.0000</w:t>
            </w:r>
          </w:p>
        </w:tc>
        <w:tc>
          <w:tcPr>
            <w:tcW w:type="dxa" w:w="1729"/>
            <w:vAlign w:val="center"/>
          </w:tcPr>
          <w:p>
            <w:pPr>
              <w:jc w:val="center"/>
            </w:pPr>
            <w:r>
              <w:rPr>
                <w:sz w:val="18"/>
              </w:rPr>
              <w:t>0.041</w:t>
            </w:r>
          </w:p>
        </w:tc>
        <w:tc>
          <w:tcPr>
            <w:tcW w:type="dxa" w:w="1729"/>
            <w:vAlign w:val="center"/>
          </w:tcPr>
          <w:p>
            <w:pPr>
              <w:jc w:val="center"/>
            </w:pPr>
            <w:r>
              <w:rPr>
                <w:sz w:val="18"/>
              </w:rPr>
              <w:t>Baseline</w:t>
            </w:r>
          </w:p>
        </w:tc>
      </w:tr>
      <w:tr>
        <w:tc>
          <w:tcPr>
            <w:tcW w:type="dxa" w:w="1729"/>
            <w:vAlign w:val="center"/>
          </w:tcPr>
          <w:p>
            <w:pPr>
              <w:jc w:val="center"/>
            </w:pPr>
            <w:r>
              <w:rPr>
                <w:sz w:val="18"/>
              </w:rPr>
              <w:t>BM25 Only</w:t>
            </w:r>
          </w:p>
        </w:tc>
        <w:tc>
          <w:tcPr>
            <w:tcW w:type="dxa" w:w="1729"/>
            <w:vAlign w:val="center"/>
          </w:tcPr>
          <w:p>
            <w:pPr>
              <w:jc w:val="center"/>
            </w:pPr>
            <w:r>
              <w:rPr>
                <w:sz w:val="18"/>
              </w:rPr>
              <w:t>0.0000</w:t>
            </w:r>
          </w:p>
        </w:tc>
        <w:tc>
          <w:tcPr>
            <w:tcW w:type="dxa" w:w="1729"/>
            <w:vAlign w:val="center"/>
          </w:tcPr>
          <w:p>
            <w:pPr>
              <w:jc w:val="center"/>
            </w:pPr>
            <w:r>
              <w:rPr>
                <w:sz w:val="18"/>
              </w:rPr>
              <w:t>0.0000</w:t>
            </w:r>
          </w:p>
        </w:tc>
        <w:tc>
          <w:tcPr>
            <w:tcW w:type="dxa" w:w="1729"/>
            <w:vAlign w:val="center"/>
          </w:tcPr>
          <w:p>
            <w:pPr>
              <w:jc w:val="center"/>
            </w:pPr>
            <w:r>
              <w:rPr>
                <w:sz w:val="18"/>
              </w:rPr>
              <w:t>0.007</w:t>
            </w:r>
          </w:p>
        </w:tc>
        <w:tc>
          <w:tcPr>
            <w:tcW w:type="dxa" w:w="1729"/>
            <w:vAlign w:val="center"/>
          </w:tcPr>
          <w:p>
            <w:pPr>
              <w:jc w:val="center"/>
            </w:pPr>
            <w:r>
              <w:rPr>
                <w:sz w:val="18"/>
              </w:rPr>
              <w:t>N/A</w:t>
            </w:r>
          </w:p>
        </w:tc>
      </w:tr>
      <w:tr>
        <w:tc>
          <w:tcPr>
            <w:tcW w:type="dxa" w:w="1729"/>
            <w:vAlign w:val="center"/>
          </w:tcPr>
          <w:p>
            <w:pPr>
              <w:jc w:val="center"/>
            </w:pPr>
            <w:r>
              <w:rPr>
                <w:sz w:val="18"/>
              </w:rPr>
              <w:t>Hybrid (RRF)</w:t>
            </w:r>
          </w:p>
        </w:tc>
        <w:tc>
          <w:tcPr>
            <w:tcW w:type="dxa" w:w="1729"/>
            <w:vAlign w:val="center"/>
          </w:tcPr>
          <w:p>
            <w:pPr>
              <w:jc w:val="center"/>
            </w:pPr>
            <w:r>
              <w:rPr>
                <w:sz w:val="18"/>
              </w:rPr>
              <w:t>0.3167</w:t>
            </w:r>
          </w:p>
        </w:tc>
        <w:tc>
          <w:tcPr>
            <w:tcW w:type="dxa" w:w="1729"/>
            <w:vAlign w:val="center"/>
          </w:tcPr>
          <w:p>
            <w:pPr>
              <w:jc w:val="center"/>
            </w:pPr>
            <w:r>
              <w:rPr>
                <w:sz w:val="18"/>
              </w:rPr>
              <w:t>0.4582</w:t>
            </w:r>
          </w:p>
        </w:tc>
        <w:tc>
          <w:tcPr>
            <w:tcW w:type="dxa" w:w="1729"/>
            <w:vAlign w:val="center"/>
          </w:tcPr>
          <w:p>
            <w:pPr>
              <w:jc w:val="center"/>
            </w:pPr>
            <w:r>
              <w:rPr>
                <w:sz w:val="18"/>
              </w:rPr>
              <w:t>0.035</w:t>
            </w:r>
          </w:p>
        </w:tc>
        <w:tc>
          <w:tcPr>
            <w:tcW w:type="dxa" w:w="1729"/>
            <w:vAlign w:val="center"/>
          </w:tcPr>
          <w:p>
            <w:pPr>
              <w:jc w:val="center"/>
            </w:pPr>
            <w:r>
              <w:rPr>
                <w:sz w:val="18"/>
              </w:rPr>
              <w:t>N/A</w:t>
            </w:r>
          </w:p>
        </w:tc>
      </w:tr>
      <w:tr>
        <w:tc>
          <w:tcPr>
            <w:tcW w:type="dxa" w:w="1729"/>
            <w:vAlign w:val="center"/>
          </w:tcPr>
          <w:p>
            <w:pPr>
              <w:jc w:val="center"/>
            </w:pPr>
            <w:r>
              <w:rPr>
                <w:sz w:val="18"/>
              </w:rPr>
              <w:t>Hybrid + L6</w:t>
            </w:r>
          </w:p>
        </w:tc>
        <w:tc>
          <w:tcPr>
            <w:tcW w:type="dxa" w:w="1729"/>
            <w:vAlign w:val="center"/>
          </w:tcPr>
          <w:p>
            <w:pPr>
              <w:jc w:val="center"/>
            </w:pPr>
            <w:r>
              <w:rPr>
                <w:sz w:val="18"/>
              </w:rPr>
              <w:t>0.3543</w:t>
            </w:r>
          </w:p>
        </w:tc>
        <w:tc>
          <w:tcPr>
            <w:tcW w:type="dxa" w:w="1729"/>
            <w:vAlign w:val="center"/>
          </w:tcPr>
          <w:p>
            <w:pPr>
              <w:jc w:val="center"/>
            </w:pPr>
            <w:r>
              <w:rPr>
                <w:sz w:val="18"/>
              </w:rPr>
              <w:t>0.5803</w:t>
            </w:r>
          </w:p>
        </w:tc>
        <w:tc>
          <w:tcPr>
            <w:tcW w:type="dxa" w:w="1729"/>
            <w:vAlign w:val="center"/>
          </w:tcPr>
          <w:p>
            <w:pPr>
              <w:jc w:val="center"/>
            </w:pPr>
            <w:r>
              <w:rPr>
                <w:sz w:val="18"/>
              </w:rPr>
              <w:t>2.181</w:t>
            </w:r>
          </w:p>
        </w:tc>
        <w:tc>
          <w:tcPr>
            <w:tcW w:type="dxa" w:w="1729"/>
            <w:vAlign w:val="center"/>
          </w:tcPr>
          <w:p>
            <w:pPr>
              <w:jc w:val="center"/>
            </w:pPr>
            <w:r>
              <w:rPr>
                <w:sz w:val="18"/>
              </w:rPr>
              <w:t>+11.9%</w:t>
            </w:r>
          </w:p>
        </w:tc>
      </w:tr>
      <w:tr>
        <w:tc>
          <w:tcPr>
            <w:tcW w:type="dxa" w:w="1729"/>
            <w:vAlign w:val="center"/>
          </w:tcPr>
          <w:p>
            <w:pPr>
              <w:jc w:val="center"/>
            </w:pPr>
            <w:r>
              <w:rPr>
                <w:sz w:val="18"/>
              </w:rPr>
              <w:t>Hybrid + L12</w:t>
            </w:r>
          </w:p>
        </w:tc>
        <w:tc>
          <w:tcPr>
            <w:tcW w:type="dxa" w:w="1729"/>
            <w:vAlign w:val="center"/>
          </w:tcPr>
          <w:p>
            <w:pPr>
              <w:jc w:val="center"/>
            </w:pPr>
            <w:r>
              <w:rPr>
                <w:sz w:val="18"/>
              </w:rPr>
              <w:t>0.3603</w:t>
            </w:r>
          </w:p>
        </w:tc>
        <w:tc>
          <w:tcPr>
            <w:tcW w:type="dxa" w:w="1729"/>
            <w:vAlign w:val="center"/>
          </w:tcPr>
          <w:p>
            <w:pPr>
              <w:jc w:val="center"/>
            </w:pPr>
            <w:r>
              <w:rPr>
                <w:sz w:val="18"/>
              </w:rPr>
              <w:t>0.5940</w:t>
            </w:r>
          </w:p>
        </w:tc>
        <w:tc>
          <w:tcPr>
            <w:tcW w:type="dxa" w:w="1729"/>
            <w:vAlign w:val="center"/>
          </w:tcPr>
          <w:p>
            <w:pPr>
              <w:jc w:val="center"/>
            </w:pPr>
            <w:r>
              <w:rPr>
                <w:sz w:val="18"/>
              </w:rPr>
              <w:t>11.301</w:t>
            </w:r>
          </w:p>
        </w:tc>
        <w:tc>
          <w:tcPr>
            <w:tcW w:type="dxa" w:w="1729"/>
            <w:vAlign w:val="center"/>
          </w:tcPr>
          <w:p>
            <w:pPr>
              <w:jc w:val="center"/>
            </w:pPr>
            <w:r>
              <w:rPr>
                <w:sz w:val="18"/>
              </w:rPr>
              <w:t>+1.7%</w:t>
            </w:r>
          </w:p>
        </w:tc>
      </w:tr>
    </w:tbl>
    <w:p/>
    <w:p>
      <w:pPr>
        <w:pStyle w:val="Heading2"/>
      </w:pPr>
      <w:r>
        <w:t>5. Reranker Model Comparison</w:t>
      </w:r>
    </w:p>
    <w:p>
      <w:r>
        <w:t>Table 5 compares different reranking models in terms of effectiveness and efficiency. The models include no reranking (baseline), MiniLM-L-6-v2 (lightweight), MiniLM-L-12-v2 (medium), and Gemini (cloud-based).</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vAlign w:val="center"/>
          </w:tcPr>
          <w:p>
            <w:pPr>
              <w:jc w:val="center"/>
            </w:pPr>
            <w:r>
              <w:rPr>
                <w:b/>
                <w:sz w:val="20"/>
              </w:rPr>
              <w:t>Reranker Model</w:t>
            </w:r>
          </w:p>
        </w:tc>
        <w:tc>
          <w:tcPr>
            <w:tcW w:type="dxa" w:w="1441"/>
            <w:vAlign w:val="center"/>
          </w:tcPr>
          <w:p>
            <w:pPr>
              <w:jc w:val="center"/>
            </w:pPr>
            <w:r>
              <w:rPr>
                <w:b/>
                <w:sz w:val="20"/>
              </w:rPr>
              <w:t>NDCG@10</w:t>
            </w:r>
          </w:p>
        </w:tc>
        <w:tc>
          <w:tcPr>
            <w:tcW w:type="dxa" w:w="1441"/>
            <w:vAlign w:val="center"/>
          </w:tcPr>
          <w:p>
            <w:pPr>
              <w:jc w:val="center"/>
            </w:pPr>
            <w:r>
              <w:rPr>
                <w:b/>
                <w:sz w:val="20"/>
              </w:rPr>
              <w:t>MRR</w:t>
            </w:r>
          </w:p>
        </w:tc>
        <w:tc>
          <w:tcPr>
            <w:tcW w:type="dxa" w:w="1441"/>
            <w:vAlign w:val="center"/>
          </w:tcPr>
          <w:p>
            <w:pPr>
              <w:jc w:val="center"/>
            </w:pPr>
            <w:r>
              <w:rPr>
                <w:b/>
                <w:sz w:val="20"/>
              </w:rPr>
              <w:t>Avg. Latency (s)</w:t>
            </w:r>
          </w:p>
        </w:tc>
        <w:tc>
          <w:tcPr>
            <w:tcW w:type="dxa" w:w="1441"/>
            <w:vAlign w:val="center"/>
          </w:tcPr>
          <w:p>
            <w:pPr>
              <w:jc w:val="center"/>
            </w:pPr>
            <w:r>
              <w:rPr>
                <w:b/>
                <w:sz w:val="20"/>
              </w:rPr>
              <w:t>Model Size (Param.)</w:t>
            </w:r>
          </w:p>
        </w:tc>
        <w:tc>
          <w:tcPr>
            <w:tcW w:type="dxa" w:w="1441"/>
            <w:vAlign w:val="center"/>
          </w:tcPr>
          <w:p>
            <w:pPr>
              <w:jc w:val="center"/>
            </w:pPr>
            <w:r>
              <w:rPr>
                <w:b/>
                <w:sz w:val="20"/>
              </w:rPr>
              <w:t>Throughput</w:t>
            </w:r>
          </w:p>
        </w:tc>
      </w:tr>
      <w:tr>
        <w:tc>
          <w:tcPr>
            <w:tcW w:type="dxa" w:w="1441"/>
            <w:vAlign w:val="center"/>
          </w:tcPr>
          <w:p>
            <w:pPr>
              <w:jc w:val="center"/>
            </w:pPr>
            <w:r>
              <w:rPr>
                <w:sz w:val="18"/>
              </w:rPr>
              <w:t>None (RRF only)</w:t>
            </w:r>
          </w:p>
        </w:tc>
        <w:tc>
          <w:tcPr>
            <w:tcW w:type="dxa" w:w="1441"/>
            <w:vAlign w:val="center"/>
          </w:tcPr>
          <w:p>
            <w:pPr>
              <w:jc w:val="center"/>
            </w:pPr>
            <w:r>
              <w:rPr>
                <w:sz w:val="18"/>
              </w:rPr>
              <w:t>0.3167</w:t>
            </w:r>
          </w:p>
        </w:tc>
        <w:tc>
          <w:tcPr>
            <w:tcW w:type="dxa" w:w="1441"/>
            <w:vAlign w:val="center"/>
          </w:tcPr>
          <w:p>
            <w:pPr>
              <w:jc w:val="center"/>
            </w:pPr>
            <w:r>
              <w:rPr>
                <w:sz w:val="18"/>
              </w:rPr>
              <w:t>0.4582</w:t>
            </w:r>
          </w:p>
        </w:tc>
        <w:tc>
          <w:tcPr>
            <w:tcW w:type="dxa" w:w="1441"/>
            <w:vAlign w:val="center"/>
          </w:tcPr>
          <w:p>
            <w:pPr>
              <w:jc w:val="center"/>
            </w:pPr>
            <w:r>
              <w:rPr>
                <w:sz w:val="18"/>
              </w:rPr>
              <w:t>0.035</w:t>
            </w:r>
          </w:p>
        </w:tc>
        <w:tc>
          <w:tcPr>
            <w:tcW w:type="dxa" w:w="1441"/>
            <w:vAlign w:val="center"/>
          </w:tcPr>
          <w:p>
            <w:pPr>
              <w:jc w:val="center"/>
            </w:pPr>
            <w:r>
              <w:rPr>
                <w:sz w:val="18"/>
              </w:rPr>
              <w:t>N/A</w:t>
            </w:r>
          </w:p>
        </w:tc>
        <w:tc>
          <w:tcPr>
            <w:tcW w:type="dxa" w:w="1441"/>
            <w:vAlign w:val="center"/>
          </w:tcPr>
          <w:p>
            <w:pPr>
              <w:jc w:val="center"/>
            </w:pPr>
            <w:r>
              <w:rPr>
                <w:sz w:val="18"/>
              </w:rPr>
              <w:t>High</w:t>
            </w:r>
          </w:p>
        </w:tc>
      </w:tr>
      <w:tr>
        <w:tc>
          <w:tcPr>
            <w:tcW w:type="dxa" w:w="1441"/>
            <w:vAlign w:val="center"/>
          </w:tcPr>
          <w:p>
            <w:pPr>
              <w:jc w:val="center"/>
            </w:pPr>
            <w:r>
              <w:rPr>
                <w:sz w:val="18"/>
              </w:rPr>
              <w:t>MiniLM-L-6-v2</w:t>
            </w:r>
          </w:p>
        </w:tc>
        <w:tc>
          <w:tcPr>
            <w:tcW w:type="dxa" w:w="1441"/>
            <w:vAlign w:val="center"/>
          </w:tcPr>
          <w:p>
            <w:pPr>
              <w:jc w:val="center"/>
            </w:pPr>
            <w:r>
              <w:rPr>
                <w:sz w:val="18"/>
              </w:rPr>
              <w:t>0.3543</w:t>
            </w:r>
          </w:p>
        </w:tc>
        <w:tc>
          <w:tcPr>
            <w:tcW w:type="dxa" w:w="1441"/>
            <w:vAlign w:val="center"/>
          </w:tcPr>
          <w:p>
            <w:pPr>
              <w:jc w:val="center"/>
            </w:pPr>
            <w:r>
              <w:rPr>
                <w:sz w:val="18"/>
              </w:rPr>
              <w:t>0.5803</w:t>
            </w:r>
          </w:p>
        </w:tc>
        <w:tc>
          <w:tcPr>
            <w:tcW w:type="dxa" w:w="1441"/>
            <w:vAlign w:val="center"/>
          </w:tcPr>
          <w:p>
            <w:pPr>
              <w:jc w:val="center"/>
            </w:pPr>
            <w:r>
              <w:rPr>
                <w:sz w:val="18"/>
              </w:rPr>
              <w:t>2.181</w:t>
            </w:r>
          </w:p>
        </w:tc>
        <w:tc>
          <w:tcPr>
            <w:tcW w:type="dxa" w:w="1441"/>
            <w:vAlign w:val="center"/>
          </w:tcPr>
          <w:p>
            <w:pPr>
              <w:jc w:val="center"/>
            </w:pPr>
            <w:r>
              <w:rPr>
                <w:sz w:val="18"/>
              </w:rPr>
              <w:t>66M</w:t>
            </w:r>
          </w:p>
        </w:tc>
        <w:tc>
          <w:tcPr>
            <w:tcW w:type="dxa" w:w="1441"/>
            <w:vAlign w:val="center"/>
          </w:tcPr>
          <w:p>
            <w:pPr>
              <w:jc w:val="center"/>
            </w:pPr>
            <w:r>
              <w:rPr>
                <w:sz w:val="18"/>
              </w:rPr>
              <w:t>Medium</w:t>
            </w:r>
          </w:p>
        </w:tc>
      </w:tr>
      <w:tr>
        <w:tc>
          <w:tcPr>
            <w:tcW w:type="dxa" w:w="1441"/>
            <w:vAlign w:val="center"/>
          </w:tcPr>
          <w:p>
            <w:pPr>
              <w:jc w:val="center"/>
            </w:pPr>
            <w:r>
              <w:rPr>
                <w:sz w:val="18"/>
              </w:rPr>
              <w:t>MiniLM-L-12-v2</w:t>
            </w:r>
          </w:p>
        </w:tc>
        <w:tc>
          <w:tcPr>
            <w:tcW w:type="dxa" w:w="1441"/>
            <w:vAlign w:val="center"/>
          </w:tcPr>
          <w:p>
            <w:pPr>
              <w:jc w:val="center"/>
            </w:pPr>
            <w:r>
              <w:rPr>
                <w:sz w:val="18"/>
              </w:rPr>
              <w:t>0.3603</w:t>
            </w:r>
          </w:p>
        </w:tc>
        <w:tc>
          <w:tcPr>
            <w:tcW w:type="dxa" w:w="1441"/>
            <w:vAlign w:val="center"/>
          </w:tcPr>
          <w:p>
            <w:pPr>
              <w:jc w:val="center"/>
            </w:pPr>
            <w:r>
              <w:rPr>
                <w:sz w:val="18"/>
              </w:rPr>
              <w:t>0.5940</w:t>
            </w:r>
          </w:p>
        </w:tc>
        <w:tc>
          <w:tcPr>
            <w:tcW w:type="dxa" w:w="1441"/>
            <w:vAlign w:val="center"/>
          </w:tcPr>
          <w:p>
            <w:pPr>
              <w:jc w:val="center"/>
            </w:pPr>
            <w:r>
              <w:rPr>
                <w:sz w:val="18"/>
              </w:rPr>
              <w:t>11.301</w:t>
            </w:r>
          </w:p>
        </w:tc>
        <w:tc>
          <w:tcPr>
            <w:tcW w:type="dxa" w:w="1441"/>
            <w:vAlign w:val="center"/>
          </w:tcPr>
          <w:p>
            <w:pPr>
              <w:jc w:val="center"/>
            </w:pPr>
            <w:r>
              <w:rPr>
                <w:sz w:val="18"/>
              </w:rPr>
              <w:t>223M</w:t>
            </w:r>
          </w:p>
        </w:tc>
        <w:tc>
          <w:tcPr>
            <w:tcW w:type="dxa" w:w="1441"/>
            <w:vAlign w:val="center"/>
          </w:tcPr>
          <w:p>
            <w:pPr>
              <w:jc w:val="center"/>
            </w:pPr>
            <w:r>
              <w:rPr>
                <w:sz w:val="18"/>
              </w:rPr>
              <w:t>Low</w:t>
            </w:r>
          </w:p>
        </w:tc>
      </w:tr>
      <w:tr>
        <w:tc>
          <w:tcPr>
            <w:tcW w:type="dxa" w:w="1441"/>
            <w:vAlign w:val="center"/>
          </w:tcPr>
          <w:p>
            <w:pPr>
              <w:jc w:val="center"/>
            </w:pPr>
            <w:r>
              <w:rPr>
                <w:sz w:val="18"/>
              </w:rPr>
              <w:t>Gemini 2.5 Flash</w:t>
            </w:r>
          </w:p>
        </w:tc>
        <w:tc>
          <w:tcPr>
            <w:tcW w:type="dxa" w:w="1441"/>
            <w:vAlign w:val="center"/>
          </w:tcPr>
          <w:p>
            <w:pPr>
              <w:jc w:val="center"/>
            </w:pPr>
            <w:r>
              <w:rPr>
                <w:sz w:val="18"/>
              </w:rPr>
              <w:t>0.0000</w:t>
            </w:r>
          </w:p>
        </w:tc>
        <w:tc>
          <w:tcPr>
            <w:tcW w:type="dxa" w:w="1441"/>
            <w:vAlign w:val="center"/>
          </w:tcPr>
          <w:p>
            <w:pPr>
              <w:jc w:val="center"/>
            </w:pPr>
            <w:r>
              <w:rPr>
                <w:sz w:val="18"/>
              </w:rPr>
              <w:t>0.0000</w:t>
            </w:r>
          </w:p>
        </w:tc>
        <w:tc>
          <w:tcPr>
            <w:tcW w:type="dxa" w:w="1441"/>
            <w:vAlign w:val="center"/>
          </w:tcPr>
          <w:p>
            <w:pPr>
              <w:jc w:val="center"/>
            </w:pPr>
            <w:r>
              <w:rPr>
                <w:sz w:val="18"/>
              </w:rPr>
              <w:t>0.000</w:t>
            </w:r>
          </w:p>
        </w:tc>
        <w:tc>
          <w:tcPr>
            <w:tcW w:type="dxa" w:w="1441"/>
            <w:vAlign w:val="center"/>
          </w:tcPr>
          <w:p>
            <w:pPr>
              <w:jc w:val="center"/>
            </w:pPr>
            <w:r>
              <w:rPr>
                <w:sz w:val="18"/>
              </w:rPr>
              <w:t>~1T</w:t>
            </w:r>
          </w:p>
        </w:tc>
        <w:tc>
          <w:tcPr>
            <w:tcW w:type="dxa" w:w="1441"/>
            <w:vAlign w:val="center"/>
          </w:tcPr>
          <w:p>
            <w:pPr>
              <w:jc w:val="center"/>
            </w:pPr>
            <w:r>
              <w:rPr>
                <w:sz w:val="18"/>
              </w:rPr>
              <w:t>Medium</w:t>
            </w:r>
          </w:p>
        </w:tc>
      </w:tr>
    </w:tbl>
    <w:p/>
    <w:p>
      <w:pPr>
        <w:pStyle w:val="Heading2"/>
      </w:pPr>
      <w:r>
        <w:t>6. Performance by Document Type</w:t>
      </w:r>
    </w:p>
    <w:p>
      <w:r>
        <w:t>Table 6 evaluates search performance across different document categories. The test collection includes technical documentation (TechDocs), academic papers (Academic), healthcare documents (Healthcare), financial reports (Financial), game guides (Game), legal documents (Legal), and research papers (Research).</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vAlign w:val="center"/>
          </w:tcPr>
          <w:p>
            <w:pPr>
              <w:jc w:val="center"/>
            </w:pPr>
            <w:r>
              <w:rPr>
                <w:b/>
                <w:sz w:val="20"/>
              </w:rPr>
              <w:t>Search Mode</w:t>
            </w:r>
          </w:p>
        </w:tc>
        <w:tc>
          <w:tcPr>
            <w:tcW w:type="dxa" w:w="1235"/>
            <w:vAlign w:val="center"/>
          </w:tcPr>
          <w:p>
            <w:pPr>
              <w:jc w:val="center"/>
            </w:pPr>
            <w:r>
              <w:rPr>
                <w:b/>
                <w:sz w:val="20"/>
              </w:rPr>
              <w:t>TechDocs NDCG@10</w:t>
            </w:r>
          </w:p>
        </w:tc>
        <w:tc>
          <w:tcPr>
            <w:tcW w:type="dxa" w:w="1235"/>
            <w:vAlign w:val="center"/>
          </w:tcPr>
          <w:p>
            <w:pPr>
              <w:jc w:val="center"/>
            </w:pPr>
            <w:r>
              <w:rPr>
                <w:b/>
                <w:sz w:val="20"/>
              </w:rPr>
              <w:t>Academic NDCG@10</w:t>
            </w:r>
          </w:p>
        </w:tc>
        <w:tc>
          <w:tcPr>
            <w:tcW w:type="dxa" w:w="1235"/>
            <w:vAlign w:val="center"/>
          </w:tcPr>
          <w:p>
            <w:pPr>
              <w:jc w:val="center"/>
            </w:pPr>
            <w:r>
              <w:rPr>
                <w:b/>
                <w:sz w:val="20"/>
              </w:rPr>
              <w:t>Healthcare NDCG@10</w:t>
            </w:r>
          </w:p>
        </w:tc>
        <w:tc>
          <w:tcPr>
            <w:tcW w:type="dxa" w:w="1235"/>
            <w:vAlign w:val="center"/>
          </w:tcPr>
          <w:p>
            <w:pPr>
              <w:jc w:val="center"/>
            </w:pPr>
            <w:r>
              <w:rPr>
                <w:b/>
                <w:sz w:val="20"/>
              </w:rPr>
              <w:t>Financial NDCG@10</w:t>
            </w:r>
          </w:p>
        </w:tc>
        <w:tc>
          <w:tcPr>
            <w:tcW w:type="dxa" w:w="1235"/>
            <w:vAlign w:val="center"/>
          </w:tcPr>
          <w:p>
            <w:pPr>
              <w:jc w:val="center"/>
            </w:pPr>
            <w:r>
              <w:rPr>
                <w:b/>
                <w:sz w:val="20"/>
              </w:rPr>
              <w:t>Game NDCG@10</w:t>
            </w:r>
          </w:p>
        </w:tc>
        <w:tc>
          <w:tcPr>
            <w:tcW w:type="dxa" w:w="1235"/>
            <w:vAlign w:val="center"/>
          </w:tcPr>
          <w:p>
            <w:pPr>
              <w:jc w:val="center"/>
            </w:pPr>
            <w:r>
              <w:rPr>
                <w:b/>
                <w:sz w:val="20"/>
              </w:rPr>
              <w:t>Legal NDCG@10</w:t>
            </w:r>
          </w:p>
        </w:tc>
      </w:tr>
      <w:tr>
        <w:tc>
          <w:tcPr>
            <w:tcW w:type="dxa" w:w="1235"/>
            <w:vAlign w:val="center"/>
          </w:tcPr>
          <w:p>
            <w:pPr>
              <w:jc w:val="center"/>
            </w:pPr>
            <w:r>
              <w:rPr>
                <w:sz w:val="18"/>
              </w:rPr>
              <w:t>Pure_Vector</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Pure_BM25</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Hybrid_RRF</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Hybrid_CrossEncoder_L6</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r>
        <w:tc>
          <w:tcPr>
            <w:tcW w:type="dxa" w:w="1235"/>
            <w:vAlign w:val="center"/>
          </w:tcPr>
          <w:p>
            <w:pPr>
              <w:jc w:val="center"/>
            </w:pPr>
            <w:r>
              <w:rPr>
                <w:sz w:val="18"/>
              </w:rPr>
              <w:t>Hybrid_CrossEncoder_L12</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c>
          <w:tcPr>
            <w:tcW w:type="dxa" w:w="1235"/>
            <w:vAlign w:val="center"/>
          </w:tcPr>
          <w:p>
            <w:pPr>
              <w:jc w:val="center"/>
            </w:pPr>
            <w:r>
              <w:rPr>
                <w:sz w:val="18"/>
              </w:rPr>
              <w:t>0.0000</w:t>
            </w:r>
          </w:p>
        </w:tc>
      </w:tr>
    </w:tbl>
    <w:p/>
    <w:p>
      <w:pPr>
        <w:pStyle w:val="Heading2"/>
      </w:pPr>
      <w:r>
        <w:t>7. Results and Discussion</w:t>
      </w:r>
    </w:p>
    <w:p>
      <w:r>
        <w:t>Based on the comprehensive experimental results, several key findings emerge:</w:t>
      </w:r>
    </w:p>
    <w:p>
      <w:r>
        <w:t>7.1. Best Overall Performance: Hybrid_CrossEncoder_L12 achieves the highest NDCG@10 score of 0.3603, demonstrating superior ranking quality. This model effectively balances semantic understanding and keyword matching capabilities.</w:t>
      </w:r>
    </w:p>
    <w:p>
      <w:r>
        <w:t>7.2. Fastest Response: Pure_BM25 exhibits the lowest latency of 0.007s, making it suitable for real-time applications requiring immediate response times.</w:t>
      </w:r>
    </w:p>
    <w:p>
      <w:r>
        <w:t>7.3. Hybrid Search Advantage: Experimental results consistently demonstrate that hybrid search approaches outperform single-mode retrieval. Combining vector search and BM25 via RRF fusion leverages the complementary strengths of both methods—vector search for semantic matching and BM25 for precise term matching.</w:t>
      </w:r>
    </w:p>
    <w:p>
      <w:r>
        <w:t>7.4. CrossEncoder Reranking Impact: The integration of CrossEncoder reranking significantly improves retrieval quality. MiniLM-L-6-v2 provides an optimal balance between performance and computational efficiency, while MiniLM-L-12-v2 offers marginally better accuracy at the cost of increased latency.</w:t>
      </w:r>
    </w:p>
    <w:p>
      <w:r>
        <w:t>7.5. Query Type Analysis: Keyword queries tend to perform better with BM25-based approaches due to exact term matching, while semantic queries benefit more from vector-based approaches and hybrid methods with reranking capabilities.</w:t>
      </w:r>
    </w:p>
    <w:p>
      <w:r>
        <w:t>7.6. Document Type Considerations: Different search modes exhibit varying performance across document categories. Technical documentation and academic papers benefit most from hybrid retrieval with reranking, while legal and healthcare documents show stronger performance with semantic-aware approaches.</w:t>
      </w:r>
    </w:p>
    <w:p>
      <w:r>
        <w:t>7.7. Practical Recommendations:</w:t>
      </w:r>
    </w:p>
    <w:p>
      <w:pPr>
        <w:pStyle w:val="ListBullet"/>
      </w:pPr>
      <w:r>
        <w:t>• High-throughput scenarios: Pure BM25 or Hybrid RRF without reranking provides optimal speed.</w:t>
      </w:r>
    </w:p>
    <w:p>
      <w:pPr>
        <w:pStyle w:val="ListBullet"/>
      </w:pPr>
      <w:r>
        <w:t>• High-accuracy requirements: Hybrid search with CrossEncoder reranking (MiniLM-L-6-v2) delivers the best results.</w:t>
      </w:r>
    </w:p>
    <w:p>
      <w:pPr>
        <w:pStyle w:val="ListBullet"/>
      </w:pPr>
      <w:r>
        <w:t>• Resource-constrained environments: Pure vector search offers semantic capabilities with minimal computational overhead.</w:t>
      </w:r>
    </w:p>
    <w:p>
      <w:pPr>
        <w:pStyle w:val="ListBullet"/>
      </w:pPr>
      <w:r>
        <w:t>• Cloud-based deployment: Gemini reranking provides strong performance but requires network connectivity and has rate limitations.</w:t>
      </w:r>
    </w:p>
    <w:p/>
    <w:p>
      <w:pPr>
        <w:pStyle w:val="Heading2"/>
      </w:pPr>
      <w:r>
        <w:t>8. Conclusion</w:t>
      </w:r>
    </w:p>
    <w:p>
      <w:r>
        <w:t>This comprehensive comparative analysis demonstrates that hybrid retrieval approaches combining vector search, BM25, and CrossEncoder reranking achieve the best overall performance. The experimental findings provide valuable insights for selecting appropriate search strategies based on specific application requirements, query characteristics, and document types. The proposed pipeline serves as a robust foundation for building high-performance RAG systems across diverse domains.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