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678"/>
        <w:gridCol w:w="562"/>
        <w:gridCol w:w="581"/>
        <w:gridCol w:w="543"/>
        <w:gridCol w:w="577"/>
        <w:gridCol w:w="541"/>
        <w:gridCol w:w="522"/>
        <w:gridCol w:w="561"/>
        <w:gridCol w:w="522"/>
        <w:gridCol w:w="650"/>
        <w:gridCol w:w="577"/>
        <w:gridCol w:w="565"/>
        <w:gridCol w:w="540"/>
        <w:gridCol w:w="581"/>
        <w:gridCol w:w="566"/>
        <w:gridCol w:w="565"/>
        <w:gridCol w:w="512"/>
        <w:gridCol w:w="558"/>
        <w:gridCol w:w="553"/>
        <w:gridCol w:w="588"/>
        <w:gridCol w:w="551"/>
        <w:gridCol w:w="558"/>
        <w:gridCol w:w="543"/>
      </w:tblGrid>
      <w:tr w:rsidR="00FA0C0E" w:rsidRPr="00FA0C0E" w14:paraId="1F2584D8" w14:textId="77777777" w:rsidTr="00FA0C0E">
        <w:trPr>
          <w:trHeight w:val="1600"/>
        </w:trPr>
        <w:tc>
          <w:tcPr>
            <w:tcW w:w="4255" w:type="dxa"/>
            <w:noWrap/>
            <w:hideMark/>
          </w:tcPr>
          <w:p w14:paraId="22D4428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71" w:type="dxa"/>
            <w:hideMark/>
          </w:tcPr>
          <w:p w14:paraId="4408C394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nastavení spolupráce s ostatními měkkými cíli</w:t>
            </w:r>
          </w:p>
        </w:tc>
        <w:tc>
          <w:tcPr>
            <w:tcW w:w="1225" w:type="dxa"/>
            <w:hideMark/>
          </w:tcPr>
          <w:p w14:paraId="1F43E7C0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informování a nastavení spolupráce s policií</w:t>
            </w:r>
          </w:p>
        </w:tc>
        <w:tc>
          <w:tcPr>
            <w:tcW w:w="1120" w:type="dxa"/>
            <w:hideMark/>
          </w:tcPr>
          <w:p w14:paraId="0B1E6235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jmenná registrace osob</w:t>
            </w:r>
          </w:p>
        </w:tc>
        <w:tc>
          <w:tcPr>
            <w:tcW w:w="1213" w:type="dxa"/>
            <w:hideMark/>
          </w:tcPr>
          <w:p w14:paraId="27AA3A3C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 xml:space="preserve">kontrola vstupujících osob </w:t>
            </w:r>
          </w:p>
        </w:tc>
        <w:tc>
          <w:tcPr>
            <w:tcW w:w="1113" w:type="dxa"/>
            <w:hideMark/>
          </w:tcPr>
          <w:p w14:paraId="4888E55D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kontrola zavazadel</w:t>
            </w:r>
          </w:p>
        </w:tc>
        <w:tc>
          <w:tcPr>
            <w:tcW w:w="1061" w:type="dxa"/>
            <w:hideMark/>
          </w:tcPr>
          <w:p w14:paraId="46D40B42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kontrola pošty</w:t>
            </w:r>
          </w:p>
        </w:tc>
        <w:tc>
          <w:tcPr>
            <w:tcW w:w="1168" w:type="dxa"/>
            <w:hideMark/>
          </w:tcPr>
          <w:p w14:paraId="4FC0C116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kontrola vjíždějících vozidel</w:t>
            </w:r>
          </w:p>
        </w:tc>
        <w:tc>
          <w:tcPr>
            <w:tcW w:w="1061" w:type="dxa"/>
            <w:hideMark/>
          </w:tcPr>
          <w:p w14:paraId="30BC483A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kontrola vozidel v okolí</w:t>
            </w:r>
          </w:p>
        </w:tc>
        <w:tc>
          <w:tcPr>
            <w:tcW w:w="1414" w:type="dxa"/>
            <w:hideMark/>
          </w:tcPr>
          <w:p w14:paraId="422BADBD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 xml:space="preserve">kontrola osob bezpečnostním rámem </w:t>
            </w:r>
          </w:p>
        </w:tc>
        <w:tc>
          <w:tcPr>
            <w:tcW w:w="1212" w:type="dxa"/>
            <w:hideMark/>
          </w:tcPr>
          <w:p w14:paraId="20B50F3E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 xml:space="preserve">monitoring prostor kamerovým systémem </w:t>
            </w:r>
          </w:p>
        </w:tc>
        <w:tc>
          <w:tcPr>
            <w:tcW w:w="1180" w:type="dxa"/>
            <w:hideMark/>
          </w:tcPr>
          <w:p w14:paraId="5D16805C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monitoring počasí</w:t>
            </w:r>
          </w:p>
        </w:tc>
        <w:tc>
          <w:tcPr>
            <w:tcW w:w="1110" w:type="dxa"/>
            <w:hideMark/>
          </w:tcPr>
          <w:p w14:paraId="43472429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 xml:space="preserve">použití tísňových tlačítek </w:t>
            </w:r>
          </w:p>
        </w:tc>
        <w:tc>
          <w:tcPr>
            <w:tcW w:w="1224" w:type="dxa"/>
            <w:hideMark/>
          </w:tcPr>
          <w:p w14:paraId="1B431176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Vymezení neveřejných prostor pomocí ACS</w:t>
            </w:r>
          </w:p>
        </w:tc>
        <w:tc>
          <w:tcPr>
            <w:tcW w:w="1184" w:type="dxa"/>
            <w:hideMark/>
          </w:tcPr>
          <w:p w14:paraId="7701AA2A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Zastřežení uzavřených prostor pomocí PZTS (EZS)</w:t>
            </w:r>
          </w:p>
        </w:tc>
        <w:tc>
          <w:tcPr>
            <w:tcW w:w="1181" w:type="dxa"/>
            <w:hideMark/>
          </w:tcPr>
          <w:p w14:paraId="15EA0658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Přítomnost fyzické ostrahy</w:t>
            </w:r>
          </w:p>
        </w:tc>
        <w:tc>
          <w:tcPr>
            <w:tcW w:w="1035" w:type="dxa"/>
            <w:hideMark/>
          </w:tcPr>
          <w:p w14:paraId="4E0225D3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proofErr w:type="gramStart"/>
            <w:r w:rsidRPr="00FA0C0E">
              <w:rPr>
                <w:b/>
                <w:bCs/>
                <w:sz w:val="15"/>
                <w:szCs w:val="15"/>
              </w:rPr>
              <w:t>Použití  zábran</w:t>
            </w:r>
            <w:proofErr w:type="gramEnd"/>
            <w:r w:rsidRPr="00FA0C0E">
              <w:rPr>
                <w:b/>
                <w:bCs/>
                <w:sz w:val="15"/>
                <w:szCs w:val="15"/>
              </w:rPr>
              <w:t xml:space="preserve"> proti nájezdu</w:t>
            </w:r>
          </w:p>
        </w:tc>
        <w:tc>
          <w:tcPr>
            <w:tcW w:w="1161" w:type="dxa"/>
            <w:hideMark/>
          </w:tcPr>
          <w:p w14:paraId="4371F0E9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Použití požární signalizace</w:t>
            </w:r>
          </w:p>
        </w:tc>
        <w:tc>
          <w:tcPr>
            <w:tcW w:w="1146" w:type="dxa"/>
            <w:hideMark/>
          </w:tcPr>
          <w:p w14:paraId="0533EBA5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 xml:space="preserve">Vymezení prostoru pomocí oplocenek </w:t>
            </w:r>
          </w:p>
        </w:tc>
        <w:tc>
          <w:tcPr>
            <w:tcW w:w="1244" w:type="dxa"/>
            <w:hideMark/>
          </w:tcPr>
          <w:p w14:paraId="33E3D9FB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zdravotnická služba</w:t>
            </w:r>
          </w:p>
        </w:tc>
        <w:tc>
          <w:tcPr>
            <w:tcW w:w="1141" w:type="dxa"/>
            <w:hideMark/>
          </w:tcPr>
          <w:p w14:paraId="472E3F23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nastavení procedury evakuace</w:t>
            </w:r>
          </w:p>
        </w:tc>
        <w:tc>
          <w:tcPr>
            <w:tcW w:w="1162" w:type="dxa"/>
            <w:hideMark/>
          </w:tcPr>
          <w:p w14:paraId="5438EA18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proofErr w:type="spellStart"/>
            <w:r w:rsidRPr="00FA0C0E">
              <w:rPr>
                <w:b/>
                <w:bCs/>
                <w:sz w:val="15"/>
                <w:szCs w:val="15"/>
              </w:rPr>
              <w:t>nastavevní</w:t>
            </w:r>
            <w:proofErr w:type="spellEnd"/>
            <w:r w:rsidRPr="00FA0C0E">
              <w:rPr>
                <w:b/>
                <w:bCs/>
                <w:sz w:val="15"/>
                <w:szCs w:val="15"/>
              </w:rPr>
              <w:t xml:space="preserve"> procedury lockdown</w:t>
            </w:r>
          </w:p>
        </w:tc>
        <w:tc>
          <w:tcPr>
            <w:tcW w:w="1119" w:type="dxa"/>
            <w:hideMark/>
          </w:tcPr>
          <w:p w14:paraId="26798665" w14:textId="77777777" w:rsidR="00FA0C0E" w:rsidRPr="00FA0C0E" w:rsidRDefault="00FA0C0E">
            <w:pPr>
              <w:rPr>
                <w:b/>
                <w:bCs/>
                <w:sz w:val="15"/>
                <w:szCs w:val="15"/>
              </w:rPr>
            </w:pPr>
            <w:r w:rsidRPr="00FA0C0E">
              <w:rPr>
                <w:b/>
                <w:bCs/>
                <w:sz w:val="15"/>
                <w:szCs w:val="15"/>
              </w:rPr>
              <w:t>příprava krizového týmu</w:t>
            </w:r>
          </w:p>
        </w:tc>
      </w:tr>
      <w:tr w:rsidR="00FA0C0E" w:rsidRPr="00FA0C0E" w14:paraId="144CEFE0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7D66162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 xml:space="preserve">Napadení chladnou zbraní </w:t>
            </w:r>
          </w:p>
        </w:tc>
        <w:tc>
          <w:tcPr>
            <w:tcW w:w="1171" w:type="dxa"/>
            <w:noWrap/>
            <w:hideMark/>
          </w:tcPr>
          <w:p w14:paraId="506BCAA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524A3A4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04AA152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0BF93EF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73F1A1D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17DA5E3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2F5E3FB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4DBF75D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4517DC6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2" w:type="dxa"/>
            <w:noWrap/>
            <w:hideMark/>
          </w:tcPr>
          <w:p w14:paraId="3F6FDAA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4122F93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5BFFC6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4" w:type="dxa"/>
            <w:noWrap/>
            <w:hideMark/>
          </w:tcPr>
          <w:p w14:paraId="6142456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466D0F0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60E6697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0269DA7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31EF035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395EE61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08AEAD0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303155E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6FB9C07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9" w:type="dxa"/>
            <w:noWrap/>
            <w:hideMark/>
          </w:tcPr>
          <w:p w14:paraId="4419292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5CBE6E23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669B200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 xml:space="preserve">Napadení střelnou zbraní </w:t>
            </w:r>
          </w:p>
        </w:tc>
        <w:tc>
          <w:tcPr>
            <w:tcW w:w="1171" w:type="dxa"/>
            <w:noWrap/>
            <w:hideMark/>
          </w:tcPr>
          <w:p w14:paraId="682829C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67D74F1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4A0328F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764730E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242B9EA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38714D7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6DB4E8C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5052F66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19C2CA3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2" w:type="dxa"/>
            <w:noWrap/>
            <w:hideMark/>
          </w:tcPr>
          <w:p w14:paraId="60D49E2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57C4603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3ACD9B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4" w:type="dxa"/>
            <w:noWrap/>
            <w:hideMark/>
          </w:tcPr>
          <w:p w14:paraId="39299F0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0CC7471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53FFB60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13F798A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1CA8955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0A75ED7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6922E2C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7A6337F2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62" w:type="dxa"/>
            <w:noWrap/>
            <w:hideMark/>
          </w:tcPr>
          <w:p w14:paraId="4B663394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2AD5879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5E217CB8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109411D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Anonymní výhrůžka</w:t>
            </w:r>
          </w:p>
        </w:tc>
        <w:tc>
          <w:tcPr>
            <w:tcW w:w="1171" w:type="dxa"/>
            <w:noWrap/>
            <w:hideMark/>
          </w:tcPr>
          <w:p w14:paraId="1B7DA99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3EDF038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0C983D4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477456D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5535365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7572DAE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8" w:type="dxa"/>
            <w:noWrap/>
            <w:hideMark/>
          </w:tcPr>
          <w:p w14:paraId="5244E9A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38C53AD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016EE4E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1651595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49DD91D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5430904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661CBC2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4" w:type="dxa"/>
            <w:noWrap/>
            <w:hideMark/>
          </w:tcPr>
          <w:p w14:paraId="776A15E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3BD6350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23BE052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4BD92D7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65B22F2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7FC8E8B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599417E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2166FDDF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072629E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2A6799B9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45BA92D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Závažný vandalismus</w:t>
            </w:r>
          </w:p>
        </w:tc>
        <w:tc>
          <w:tcPr>
            <w:tcW w:w="1171" w:type="dxa"/>
            <w:noWrap/>
            <w:hideMark/>
          </w:tcPr>
          <w:p w14:paraId="219FD61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0BE5DD1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0C60A5C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72C4DA5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04F9695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F4BF75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505BB2C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8E703D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018A3C4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2F36162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48FBB04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AA6734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4" w:type="dxa"/>
            <w:noWrap/>
            <w:hideMark/>
          </w:tcPr>
          <w:p w14:paraId="5EA1B7C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4" w:type="dxa"/>
            <w:noWrap/>
            <w:hideMark/>
          </w:tcPr>
          <w:p w14:paraId="7D14E5B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25BECC0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23A5AA6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2587931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5D232A2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2916097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4D760381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62" w:type="dxa"/>
            <w:noWrap/>
            <w:hideMark/>
          </w:tcPr>
          <w:p w14:paraId="43714D92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6CB9AE7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7DC887E6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63811D6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Žhářský útok</w:t>
            </w:r>
          </w:p>
        </w:tc>
        <w:tc>
          <w:tcPr>
            <w:tcW w:w="1171" w:type="dxa"/>
            <w:noWrap/>
            <w:hideMark/>
          </w:tcPr>
          <w:p w14:paraId="6B51F86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42B31DD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6C8BE71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4E2E3DF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5F0C254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6FFF6BA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34D316A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2119DFAA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414" w:type="dxa"/>
            <w:noWrap/>
            <w:hideMark/>
          </w:tcPr>
          <w:p w14:paraId="78A6370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2" w:type="dxa"/>
            <w:noWrap/>
            <w:hideMark/>
          </w:tcPr>
          <w:p w14:paraId="1B9AD3B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1DB85C1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44B26F1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4" w:type="dxa"/>
            <w:noWrap/>
            <w:hideMark/>
          </w:tcPr>
          <w:p w14:paraId="0C5CCC2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5F10C53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216BA38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396D613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343829E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6" w:type="dxa"/>
            <w:noWrap/>
            <w:hideMark/>
          </w:tcPr>
          <w:p w14:paraId="69ACDE2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27D390C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7A66F45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5AB9A991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1FAAFD6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461C5585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11126BD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Nenávistné shromáždění</w:t>
            </w:r>
          </w:p>
        </w:tc>
        <w:tc>
          <w:tcPr>
            <w:tcW w:w="1171" w:type="dxa"/>
            <w:noWrap/>
            <w:hideMark/>
          </w:tcPr>
          <w:p w14:paraId="0ABF85C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707CBE8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7CA5E53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0357FE7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61C9388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7F8B4A9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1DB98D1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7266D6DD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414" w:type="dxa"/>
            <w:noWrap/>
            <w:hideMark/>
          </w:tcPr>
          <w:p w14:paraId="6E4DD3D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2" w:type="dxa"/>
            <w:noWrap/>
            <w:hideMark/>
          </w:tcPr>
          <w:p w14:paraId="3AC5E7F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556062A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6DB60A9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7BC1463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4" w:type="dxa"/>
            <w:noWrap/>
            <w:hideMark/>
          </w:tcPr>
          <w:p w14:paraId="40AF22C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1" w:type="dxa"/>
            <w:noWrap/>
            <w:hideMark/>
          </w:tcPr>
          <w:p w14:paraId="19D5860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2F82B52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1" w:type="dxa"/>
            <w:noWrap/>
            <w:hideMark/>
          </w:tcPr>
          <w:p w14:paraId="446D268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2A6C2F8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44" w:type="dxa"/>
            <w:noWrap/>
            <w:hideMark/>
          </w:tcPr>
          <w:p w14:paraId="1368657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2709B07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39C3B97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9" w:type="dxa"/>
            <w:noWrap/>
            <w:hideMark/>
          </w:tcPr>
          <w:p w14:paraId="24AE19B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54D45722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4809AE5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Výbušnina umístěná v prostoru akce (NVS)</w:t>
            </w:r>
          </w:p>
        </w:tc>
        <w:tc>
          <w:tcPr>
            <w:tcW w:w="1171" w:type="dxa"/>
            <w:noWrap/>
            <w:hideMark/>
          </w:tcPr>
          <w:p w14:paraId="36718C4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3D1F6FB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7A0E675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15A08CD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4B46F79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7C94D7C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8" w:type="dxa"/>
            <w:noWrap/>
            <w:hideMark/>
          </w:tcPr>
          <w:p w14:paraId="7528016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1AC9D6B5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414" w:type="dxa"/>
            <w:noWrap/>
            <w:hideMark/>
          </w:tcPr>
          <w:p w14:paraId="4C3EA9F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2" w:type="dxa"/>
            <w:noWrap/>
            <w:hideMark/>
          </w:tcPr>
          <w:p w14:paraId="1B0AEB6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0CF6A31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6CDC8CA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640D3CA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4" w:type="dxa"/>
            <w:noWrap/>
            <w:hideMark/>
          </w:tcPr>
          <w:p w14:paraId="6ADBFBD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1" w:type="dxa"/>
            <w:noWrap/>
            <w:hideMark/>
          </w:tcPr>
          <w:p w14:paraId="1458B9D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2ADE9EC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397D6C0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1BA5B2B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3EC6DBF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6DF194B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67E3A964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23E64AE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35DE51D8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711F9DA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Braní rukojmí</w:t>
            </w:r>
          </w:p>
        </w:tc>
        <w:tc>
          <w:tcPr>
            <w:tcW w:w="1171" w:type="dxa"/>
            <w:noWrap/>
            <w:hideMark/>
          </w:tcPr>
          <w:p w14:paraId="64F0C60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03E9954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3311322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35BE5FE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637126C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06E9C40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51117C8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26E263C4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414" w:type="dxa"/>
            <w:noWrap/>
            <w:hideMark/>
          </w:tcPr>
          <w:p w14:paraId="561A163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2" w:type="dxa"/>
            <w:noWrap/>
            <w:hideMark/>
          </w:tcPr>
          <w:p w14:paraId="41D2344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382CB03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571ADD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4" w:type="dxa"/>
            <w:noWrap/>
            <w:hideMark/>
          </w:tcPr>
          <w:p w14:paraId="1527B66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4" w:type="dxa"/>
            <w:noWrap/>
            <w:hideMark/>
          </w:tcPr>
          <w:p w14:paraId="2F8C587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1" w:type="dxa"/>
            <w:noWrap/>
            <w:hideMark/>
          </w:tcPr>
          <w:p w14:paraId="362AB40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1F4978D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60AD931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7DF0C20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18507D3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62E10F7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6F1BD3B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9" w:type="dxa"/>
            <w:noWrap/>
            <w:hideMark/>
          </w:tcPr>
          <w:p w14:paraId="19964B9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5876BA02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2CF6A69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Výbušnina ve vozidle</w:t>
            </w:r>
          </w:p>
        </w:tc>
        <w:tc>
          <w:tcPr>
            <w:tcW w:w="1171" w:type="dxa"/>
            <w:noWrap/>
            <w:hideMark/>
          </w:tcPr>
          <w:p w14:paraId="0D61772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6F25B30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1452819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3C425A8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5898546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6EB897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7505E9C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7EE67D0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414" w:type="dxa"/>
            <w:noWrap/>
            <w:hideMark/>
          </w:tcPr>
          <w:p w14:paraId="6B57CB5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221F9E7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320E41E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6803D1A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758EC21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00B9D98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74DC028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375B305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1" w:type="dxa"/>
            <w:noWrap/>
            <w:hideMark/>
          </w:tcPr>
          <w:p w14:paraId="40598F4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46DAA0A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4C5255A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0DABB9F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100AD0BE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09F6B47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2C2F94E5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5DCACB1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Nájezd vozidla do davu</w:t>
            </w:r>
          </w:p>
        </w:tc>
        <w:tc>
          <w:tcPr>
            <w:tcW w:w="1171" w:type="dxa"/>
            <w:noWrap/>
            <w:hideMark/>
          </w:tcPr>
          <w:p w14:paraId="47DD646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1361AEB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2578808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1AE7203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2FCBDD2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3AEF448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0825E85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314DE7A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414" w:type="dxa"/>
            <w:noWrap/>
            <w:hideMark/>
          </w:tcPr>
          <w:p w14:paraId="14BDD4E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519D81D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228A68A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2DE735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1AFB96D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40D58AF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5B412B0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6E1C8AB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1" w:type="dxa"/>
            <w:noWrap/>
            <w:hideMark/>
          </w:tcPr>
          <w:p w14:paraId="5801E91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5C57FF2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36E384C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5169C6C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61FC474A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2647D12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60DCD500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386FD2D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 xml:space="preserve">Narušení akce </w:t>
            </w:r>
            <w:proofErr w:type="spellStart"/>
            <w:r w:rsidRPr="00FA0C0E">
              <w:rPr>
                <w:sz w:val="15"/>
                <w:szCs w:val="15"/>
              </w:rPr>
              <w:t>eanotrémním</w:t>
            </w:r>
            <w:proofErr w:type="spellEnd"/>
            <w:r w:rsidRPr="00FA0C0E">
              <w:rPr>
                <w:sz w:val="15"/>
                <w:szCs w:val="15"/>
              </w:rPr>
              <w:t xml:space="preserve"> počasím</w:t>
            </w:r>
          </w:p>
        </w:tc>
        <w:tc>
          <w:tcPr>
            <w:tcW w:w="1171" w:type="dxa"/>
            <w:noWrap/>
            <w:hideMark/>
          </w:tcPr>
          <w:p w14:paraId="34F9083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50BC9B4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6E9D5A8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25A6597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79C3DAA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9A885D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0122AFD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2AC1A4A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61D7503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1C2C813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7266048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0" w:type="dxa"/>
            <w:noWrap/>
            <w:hideMark/>
          </w:tcPr>
          <w:p w14:paraId="4EC992C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2611ACC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0F1EDE4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2E4257A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4228B5C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2ED2313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50B5EA7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6DF16E0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62174B0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32A70E4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9" w:type="dxa"/>
            <w:noWrap/>
            <w:hideMark/>
          </w:tcPr>
          <w:p w14:paraId="4DDAE05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7335F318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12E43CB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Dopravní zácpy a kolaps dopravy v okolí akce</w:t>
            </w:r>
          </w:p>
        </w:tc>
        <w:tc>
          <w:tcPr>
            <w:tcW w:w="1171" w:type="dxa"/>
            <w:noWrap/>
            <w:hideMark/>
          </w:tcPr>
          <w:p w14:paraId="58F9F88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08C0D1F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68432ED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7469E17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1CFADAB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5EA53B2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03DC1CF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2E51087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75BEFFB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3B660A8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54AF4D5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6436CA1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24F392C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2F52752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0965D82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2322085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6BA7BA7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1CA9498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2576F29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5F45ABA6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62" w:type="dxa"/>
            <w:noWrap/>
            <w:hideMark/>
          </w:tcPr>
          <w:p w14:paraId="0ED6F7DE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67EFBD1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0E064515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77BBD47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Přeplnění kapacity areálů a riziko tlačenice</w:t>
            </w:r>
          </w:p>
        </w:tc>
        <w:tc>
          <w:tcPr>
            <w:tcW w:w="1171" w:type="dxa"/>
            <w:noWrap/>
            <w:hideMark/>
          </w:tcPr>
          <w:p w14:paraId="7BD2663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51A74FF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1AB3EC2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0376A4A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79984FE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33DF63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5B1C20C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12363D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25BA034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6C1B876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7726CD3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69AA8F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1651EA2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5F9161E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6766363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573B68A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1D2B764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2764B1C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44" w:type="dxa"/>
            <w:noWrap/>
            <w:hideMark/>
          </w:tcPr>
          <w:p w14:paraId="5D04ACB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176262F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347A5A18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54DF1A7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3FDDDE7C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2194FCE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Davová panika a nekontrolovaný pohyb lidí</w:t>
            </w:r>
          </w:p>
        </w:tc>
        <w:tc>
          <w:tcPr>
            <w:tcW w:w="1171" w:type="dxa"/>
            <w:noWrap/>
            <w:hideMark/>
          </w:tcPr>
          <w:p w14:paraId="6BB75F0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74C51DA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490E890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4DAB756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45C4FD6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3139A58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0B90928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4451EE0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16256A1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3463F59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79D221C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0D67EEA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4" w:type="dxa"/>
            <w:noWrap/>
            <w:hideMark/>
          </w:tcPr>
          <w:p w14:paraId="673A1D4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3B83277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1" w:type="dxa"/>
            <w:noWrap/>
            <w:hideMark/>
          </w:tcPr>
          <w:p w14:paraId="318E73F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4103EC9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4E97AA6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2B720E6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44" w:type="dxa"/>
            <w:noWrap/>
            <w:hideMark/>
          </w:tcPr>
          <w:p w14:paraId="51A0954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188CE18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6FB3B141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5BA40EE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31B3A5C5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3DAD17F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Větší počet zraněných osob (různými vlivy)</w:t>
            </w:r>
          </w:p>
        </w:tc>
        <w:tc>
          <w:tcPr>
            <w:tcW w:w="1171" w:type="dxa"/>
            <w:noWrap/>
            <w:hideMark/>
          </w:tcPr>
          <w:p w14:paraId="347CF4D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38C97F9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2531D45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03AC2F2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7F99B65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46F448B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2497A2E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68503CE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693D0F0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6675963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480FC72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20588FA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008B6A5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7F7A297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0C95D97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6BC41BE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5D6FEBF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29BC94F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42AC661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6AD5FC7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2E4429B8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0801375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74F1E3D9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53EB48C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Mimořádně závažná událost mimo akci</w:t>
            </w:r>
          </w:p>
        </w:tc>
        <w:tc>
          <w:tcPr>
            <w:tcW w:w="1171" w:type="dxa"/>
            <w:noWrap/>
            <w:hideMark/>
          </w:tcPr>
          <w:p w14:paraId="045344A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097D45B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25E718F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2DB4FBF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13331CD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2AE5D2A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4DCEF7C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1804867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00A6DEF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1CC486D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3A76C40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794AE33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48FAE28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5BD2694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321DC72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35" w:type="dxa"/>
            <w:noWrap/>
            <w:hideMark/>
          </w:tcPr>
          <w:p w14:paraId="3B6CD38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58FC48D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61828B8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682EF7A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6CDFC46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5F7F154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9" w:type="dxa"/>
            <w:noWrap/>
            <w:hideMark/>
          </w:tcPr>
          <w:p w14:paraId="2960783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3A783C3D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7EBEE94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lastRenderedPageBreak/>
              <w:t>Únik škodlivé látky ve vzduchu</w:t>
            </w:r>
          </w:p>
        </w:tc>
        <w:tc>
          <w:tcPr>
            <w:tcW w:w="1171" w:type="dxa"/>
            <w:noWrap/>
            <w:hideMark/>
          </w:tcPr>
          <w:p w14:paraId="7D09175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60D18C3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61FD26E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47CAF8C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50B6203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75FDB8F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21AE9CC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42C224B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2D0640F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63F7131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18A3CDD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0" w:type="dxa"/>
            <w:noWrap/>
            <w:hideMark/>
          </w:tcPr>
          <w:p w14:paraId="5F1BA5D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42B5031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3543693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7628F64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1C7C75E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6DC3173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705EC16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7E2F0C4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41" w:type="dxa"/>
            <w:noWrap/>
            <w:hideMark/>
          </w:tcPr>
          <w:p w14:paraId="6DF7A52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62" w:type="dxa"/>
            <w:noWrap/>
            <w:hideMark/>
          </w:tcPr>
          <w:p w14:paraId="50870E5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9" w:type="dxa"/>
            <w:noWrap/>
            <w:hideMark/>
          </w:tcPr>
          <w:p w14:paraId="683E560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2B8138C9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31ABD23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Přelet nepovoleného dronu</w:t>
            </w:r>
          </w:p>
        </w:tc>
        <w:tc>
          <w:tcPr>
            <w:tcW w:w="1171" w:type="dxa"/>
            <w:noWrap/>
            <w:hideMark/>
          </w:tcPr>
          <w:p w14:paraId="27AD657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25" w:type="dxa"/>
            <w:noWrap/>
            <w:hideMark/>
          </w:tcPr>
          <w:p w14:paraId="4219A6D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6D22A3E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3" w:type="dxa"/>
            <w:noWrap/>
            <w:hideMark/>
          </w:tcPr>
          <w:p w14:paraId="64F6C34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13" w:type="dxa"/>
            <w:noWrap/>
            <w:hideMark/>
          </w:tcPr>
          <w:p w14:paraId="69AEB6C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6EA7331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1F6076D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61" w:type="dxa"/>
            <w:noWrap/>
            <w:hideMark/>
          </w:tcPr>
          <w:p w14:paraId="52BBDC7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0C058A3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4B94104F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0" w:type="dxa"/>
            <w:noWrap/>
            <w:hideMark/>
          </w:tcPr>
          <w:p w14:paraId="0A42869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532D55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7A2EDC5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4" w:type="dxa"/>
            <w:noWrap/>
            <w:hideMark/>
          </w:tcPr>
          <w:p w14:paraId="72C8EEB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1" w:type="dxa"/>
            <w:noWrap/>
            <w:hideMark/>
          </w:tcPr>
          <w:p w14:paraId="217AEA5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037C582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544DCBF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4797BF97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239DE869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7BE9D4D7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62" w:type="dxa"/>
            <w:noWrap/>
            <w:hideMark/>
          </w:tcPr>
          <w:p w14:paraId="54972DFF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46CC6D1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  <w:tr w:rsidR="00FA0C0E" w:rsidRPr="00FA0C0E" w14:paraId="0623121D" w14:textId="77777777" w:rsidTr="00FA0C0E">
        <w:trPr>
          <w:trHeight w:val="320"/>
        </w:trPr>
        <w:tc>
          <w:tcPr>
            <w:tcW w:w="4255" w:type="dxa"/>
            <w:noWrap/>
            <w:hideMark/>
          </w:tcPr>
          <w:p w14:paraId="176C4A6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Sabotáž techniky</w:t>
            </w:r>
          </w:p>
        </w:tc>
        <w:tc>
          <w:tcPr>
            <w:tcW w:w="1171" w:type="dxa"/>
            <w:noWrap/>
            <w:hideMark/>
          </w:tcPr>
          <w:p w14:paraId="306FA4B8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5" w:type="dxa"/>
            <w:noWrap/>
            <w:hideMark/>
          </w:tcPr>
          <w:p w14:paraId="460EE30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20" w:type="dxa"/>
            <w:noWrap/>
            <w:hideMark/>
          </w:tcPr>
          <w:p w14:paraId="4427BE7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213" w:type="dxa"/>
            <w:noWrap/>
            <w:hideMark/>
          </w:tcPr>
          <w:p w14:paraId="43C27C9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3" w:type="dxa"/>
            <w:noWrap/>
            <w:hideMark/>
          </w:tcPr>
          <w:p w14:paraId="1731E6B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706D2072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8" w:type="dxa"/>
            <w:noWrap/>
            <w:hideMark/>
          </w:tcPr>
          <w:p w14:paraId="25829C11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061" w:type="dxa"/>
            <w:noWrap/>
            <w:hideMark/>
          </w:tcPr>
          <w:p w14:paraId="1EAA0C2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414" w:type="dxa"/>
            <w:noWrap/>
            <w:hideMark/>
          </w:tcPr>
          <w:p w14:paraId="7CA1BF36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12" w:type="dxa"/>
            <w:noWrap/>
            <w:hideMark/>
          </w:tcPr>
          <w:p w14:paraId="6431628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80" w:type="dxa"/>
            <w:noWrap/>
            <w:hideMark/>
          </w:tcPr>
          <w:p w14:paraId="559E45F0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10" w:type="dxa"/>
            <w:noWrap/>
            <w:hideMark/>
          </w:tcPr>
          <w:p w14:paraId="33EDE10E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24" w:type="dxa"/>
            <w:noWrap/>
            <w:hideMark/>
          </w:tcPr>
          <w:p w14:paraId="47DF99E5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4" w:type="dxa"/>
            <w:noWrap/>
            <w:hideMark/>
          </w:tcPr>
          <w:p w14:paraId="681FCEC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181" w:type="dxa"/>
            <w:noWrap/>
            <w:hideMark/>
          </w:tcPr>
          <w:p w14:paraId="274D0B1A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  <w:tc>
          <w:tcPr>
            <w:tcW w:w="1035" w:type="dxa"/>
            <w:noWrap/>
            <w:hideMark/>
          </w:tcPr>
          <w:p w14:paraId="51AFB79D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61" w:type="dxa"/>
            <w:noWrap/>
            <w:hideMark/>
          </w:tcPr>
          <w:p w14:paraId="5D23F3B3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474908EC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244" w:type="dxa"/>
            <w:noWrap/>
            <w:hideMark/>
          </w:tcPr>
          <w:p w14:paraId="57E818FB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 </w:t>
            </w:r>
          </w:p>
        </w:tc>
        <w:tc>
          <w:tcPr>
            <w:tcW w:w="1141" w:type="dxa"/>
            <w:noWrap/>
            <w:hideMark/>
          </w:tcPr>
          <w:p w14:paraId="7E132774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62" w:type="dxa"/>
            <w:noWrap/>
            <w:hideMark/>
          </w:tcPr>
          <w:p w14:paraId="3FDD77EA" w14:textId="77777777" w:rsidR="00FA0C0E" w:rsidRPr="00FA0C0E" w:rsidRDefault="00FA0C0E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noWrap/>
            <w:hideMark/>
          </w:tcPr>
          <w:p w14:paraId="2E4E1FB4" w14:textId="77777777" w:rsidR="00FA0C0E" w:rsidRPr="00FA0C0E" w:rsidRDefault="00FA0C0E">
            <w:pPr>
              <w:rPr>
                <w:sz w:val="15"/>
                <w:szCs w:val="15"/>
              </w:rPr>
            </w:pPr>
            <w:r w:rsidRPr="00FA0C0E">
              <w:rPr>
                <w:sz w:val="15"/>
                <w:szCs w:val="15"/>
              </w:rPr>
              <w:t>ano</w:t>
            </w:r>
          </w:p>
        </w:tc>
      </w:tr>
    </w:tbl>
    <w:p w14:paraId="53028F18" w14:textId="77777777" w:rsidR="003D2493" w:rsidRPr="00FA0C0E" w:rsidRDefault="003D2493">
      <w:pPr>
        <w:rPr>
          <w:sz w:val="15"/>
          <w:szCs w:val="15"/>
        </w:rPr>
      </w:pPr>
    </w:p>
    <w:sectPr w:rsidR="003D2493" w:rsidRPr="00FA0C0E" w:rsidSect="00FA0C0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00DD"/>
    <w:multiLevelType w:val="multilevel"/>
    <w:tmpl w:val="E42ADBF2"/>
    <w:styleLink w:val="Styl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7290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0E"/>
    <w:rsid w:val="00074FC1"/>
    <w:rsid w:val="00317B47"/>
    <w:rsid w:val="003D2493"/>
    <w:rsid w:val="003D6C78"/>
    <w:rsid w:val="004808E5"/>
    <w:rsid w:val="007E246E"/>
    <w:rsid w:val="00BF135D"/>
    <w:rsid w:val="00F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BD7DB1"/>
  <w15:chartTrackingRefBased/>
  <w15:docId w15:val="{70035FCA-66AC-044D-94A8-A20ABC93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A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A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A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A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A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A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A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A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A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Styl2">
    <w:name w:val="Styl2"/>
    <w:uiPriority w:val="99"/>
    <w:rsid w:val="00074FC1"/>
    <w:pPr>
      <w:numPr>
        <w:numId w:val="1"/>
      </w:numPr>
    </w:pPr>
  </w:style>
  <w:style w:type="character" w:customStyle="1" w:styleId="Nadpis1Char">
    <w:name w:val="Nadpis 1 Char"/>
    <w:basedOn w:val="Standardnpsmoodstavce"/>
    <w:link w:val="Nadpis1"/>
    <w:uiPriority w:val="9"/>
    <w:rsid w:val="00FA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A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A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0C0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A0C0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A0C0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A0C0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A0C0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A0C0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A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A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A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A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A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A0C0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A0C0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A0C0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A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A0C0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A0C0E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FA0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Zdeněk Kalvach</dc:creator>
  <cp:keywords/>
  <dc:description/>
  <cp:lastModifiedBy>Zdeněk Kalvach</cp:lastModifiedBy>
  <cp:revision>1</cp:revision>
  <dcterms:created xsi:type="dcterms:W3CDTF">2025-06-11T16:39:00Z</dcterms:created>
  <dcterms:modified xsi:type="dcterms:W3CDTF">2025-06-11T16:40:00Z</dcterms:modified>
</cp:coreProperties>
</file>