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4B8C"/>
          <w:sz w:val="52"/>
          <w:szCs w:val="52"/>
        </w:rPr>
        <w:t xml:space="preserve">LexisLocal</w:t>
      </w:r>
    </w:p>
    <w:p>
      <w:pPr>
        <w:spacing w:after="80" w:before="0"/>
        <w:jc w:val="center"/>
      </w:pPr>
      <w:r>
        <w:rPr>
          <w:rFonts w:ascii="Arial" w:cs="Arial" w:eastAsia="Arial" w:hAnsi="Arial"/>
          <w:color w:val="555555"/>
          <w:sz w:val="26"/>
          <w:szCs w:val="26"/>
        </w:rPr>
        <w:t xml:space="preserve">Dodatek k projektovému návrhu</w:t>
      </w:r>
    </w:p>
    <w:p>
      <w:pPr>
        <w:spacing w:after="40" w:before="0"/>
        <w:jc w:val="center"/>
      </w:pPr>
      <w:r>
        <w:rPr>
          <w:rFonts w:ascii="Arial" w:cs="Arial" w:eastAsia="Arial" w:hAnsi="Arial"/>
          <w:b/>
          <w:bCs/>
          <w:color w:val="222222"/>
          <w:sz w:val="32"/>
          <w:szCs w:val="32"/>
        </w:rPr>
        <w:t xml:space="preserve">Síťová politika a datová suverenita</w:t>
      </w:r>
    </w:p>
    <w:p>
      <w:pPr>
        <w:spacing w:after="480" w:before="40"/>
        <w:jc w:val="center"/>
      </w:pPr>
      <w:r>
        <w:rPr>
          <w:rFonts w:ascii="Arial" w:cs="Arial" w:eastAsia="Arial" w:hAnsi="Arial"/>
          <w:color w:val="999999"/>
          <w:sz w:val="20"/>
          <w:szCs w:val="20"/>
        </w:rPr>
        <w:t xml:space="preserve">Verze 1.0 | Květen 2026</w:t>
      </w:r>
    </w:p>
    <w:p>
      <w:pPr>
        <w:pBdr>
          <w:bottom w:val="single" w:color="1A4B8C" w:sz="4" w:space="1"/>
        </w:pBdr>
        <w:spacing w:after="200" w:before="200"/>
      </w:pPr>
      <w:r>
        <w:t xml:space="preserve"/>
      </w:r>
    </w:p>
    <w:p>
      <w:pPr>
        <w:pStyle w:val="Heading1"/>
        <w:spacing w:after="160" w:before="360"/>
      </w:pPr>
      <w:r>
        <w:rPr>
          <w:rFonts w:ascii="Arial" w:cs="Arial" w:eastAsia="Arial" w:hAnsi="Arial"/>
          <w:b/>
          <w:bCs/>
          <w:color w:val="1A4B8C"/>
          <w:sz w:val="28"/>
          <w:szCs w:val="28"/>
        </w:rPr>
        <w:t xml:space="preserve">1. Účel dokumentu</w:t>
      </w:r>
    </w:p>
    <w:p>
      <w:pPr>
        <w:spacing w:after="80" w:before="80"/>
      </w:pPr>
      <w:r>
        <w:rPr>
          <w:rFonts w:ascii="Arial" w:cs="Arial" w:eastAsia="Arial" w:hAnsi="Arial"/>
          <w:sz w:val="22"/>
          <w:szCs w:val="22"/>
        </w:rPr>
        <w:t xml:space="preserve">Tento dodatek explicitně definuje, které síťové operace systém LexisLocal provádí, jakým směrem data toku a zda při nich dochází k přenosu klientských dat mimo lokální síť (LAN). Dokument slouží jako podklad pro bezpečnostní audit, GDPR dokumentaci a nastavení firewallových pravidel.</w:t>
      </w:r>
    </w:p>
    <w:p>
      <w:pPr>
        <w:spacing w:after="0" w:before="120"/>
      </w:pPr>
      <w:r>
        <w:t xml:space="preserve"/>
      </w:r>
    </w:p>
    <w:p>
      <w:pPr>
        <w:pStyle w:val="Heading1"/>
        <w:spacing w:after="160" w:before="360"/>
      </w:pPr>
      <w:r>
        <w:rPr>
          <w:rFonts w:ascii="Arial" w:cs="Arial" w:eastAsia="Arial" w:hAnsi="Arial"/>
          <w:b/>
          <w:bCs/>
          <w:color w:val="1A4B8C"/>
          <w:sz w:val="28"/>
          <w:szCs w:val="28"/>
        </w:rPr>
        <w:t xml:space="preserve">2. Základní princip: jednosměrný tok</w:t>
      </w:r>
    </w:p>
    <w:p>
      <w:pPr>
        <w:spacing w:after="80" w:before="80"/>
      </w:pPr>
      <w:r>
        <w:rPr>
          <w:rFonts w:ascii="Arial" w:cs="Arial" w:eastAsia="Arial" w:hAnsi="Arial"/>
          <w:sz w:val="22"/>
          <w:szCs w:val="22"/>
        </w:rPr>
        <w:t xml:space="preserve">Klíčové rozlišení, které hlavní projektový návrh explicitně neuvadí:</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3FA" w:val="clear"/>
            <w:tcMar>
              <w:top w:type="dxa" w:w="120"/>
              <w:left w:type="dxa" w:w="160"/>
              <w:bottom w:type="dxa" w:w="120"/>
              <w:right w:type="dxa" w:w="160"/>
            </w:tcMar>
          </w:tcPr>
          <w:p>
            <w:pPr>
              <w:spacing w:after="60" w:before="60"/>
            </w:pPr>
            <w:r>
              <w:rPr>
                <w:rFonts w:ascii="Arial" w:cs="Arial" w:eastAsia="Arial" w:hAnsi="Arial"/>
                <w:b/>
                <w:bCs/>
                <w:sz w:val="22"/>
                <w:szCs w:val="22"/>
              </w:rPr>
              <w:t xml:space="preserve">Systém LexisLocal pracuje se dvěma zcela odlišnými typy síťové komunikace:</w:t>
            </w:r>
          </w:p>
          <w:p>
            <w:pPr>
              <w:spacing w:after="20" w:before="60"/>
            </w:pPr>
            <w:r>
              <w:rPr>
                <w:rFonts w:ascii="Arial" w:cs="Arial" w:eastAsia="Arial" w:hAnsi="Arial"/>
                <w:b/>
                <w:bCs/>
                <w:color w:val="1A4B8C"/>
                <w:sz w:val="22"/>
                <w:szCs w:val="22"/>
              </w:rPr>
              <w:t xml:space="preserve">A) Interní komunikace (LAN)</w:t>
            </w:r>
          </w:p>
          <w:p>
            <w:pPr>
              <w:spacing w:after="60" w:before="0"/>
            </w:pPr>
            <w:r>
              <w:rPr>
                <w:rFonts w:ascii="Arial" w:cs="Arial" w:eastAsia="Arial" w:hAnsi="Arial"/>
                <w:sz w:val="22"/>
                <w:szCs w:val="22"/>
              </w:rPr>
              <w:t xml:space="preserve">Všechny AI operace, dotazy nad spisy, RAG, inference modelů. Data nikdy neopustí lokální síť.</w:t>
            </w:r>
          </w:p>
          <w:p>
            <w:pPr>
              <w:spacing w:after="20" w:before="60"/>
            </w:pPr>
            <w:r>
              <w:rPr>
                <w:rFonts w:ascii="Arial" w:cs="Arial" w:eastAsia="Arial" w:hAnsi="Arial"/>
                <w:b/>
                <w:bCs/>
                <w:color w:val="1B5E20"/>
                <w:sz w:val="22"/>
                <w:szCs w:val="22"/>
              </w:rPr>
              <w:t xml:space="preserve">B) Externí čtení veřejných registrů (internet → LAN)</w:t>
            </w:r>
          </w:p>
          <w:p>
            <w:pPr>
              <w:spacing w:after="60" w:before="0"/>
            </w:pPr>
            <w:r>
              <w:rPr>
                <w:rFonts w:ascii="Arial" w:cs="Arial" w:eastAsia="Arial" w:hAnsi="Arial"/>
                <w:sz w:val="22"/>
                <w:szCs w:val="22"/>
              </w:rPr>
              <w:t xml:space="preserve">Stahování veřejných dat z registrů. Jednosměrný tok: registr posílá data DO kanceláře, žádná klientská data neodcházejí ven. Technicky identické situaci, kdy advoát otevře prohlížeč a zadá IČO klienta.</w:t>
            </w:r>
          </w:p>
        </w:tc>
      </w:tr>
    </w:tbl>
    <w:p>
      <w:pPr>
        <w:spacing w:after="0" w:before="200"/>
      </w:pPr>
      <w:r>
        <w:t xml:space="preserve"/>
      </w:r>
    </w:p>
    <w:p>
      <w:pPr>
        <w:pStyle w:val="Heading1"/>
        <w:spacing w:after="160" w:before="360"/>
      </w:pPr>
      <w:r>
        <w:rPr>
          <w:rFonts w:ascii="Arial" w:cs="Arial" w:eastAsia="Arial" w:hAnsi="Arial"/>
          <w:b/>
          <w:bCs/>
          <w:color w:val="1A4B8C"/>
          <w:sz w:val="28"/>
          <w:szCs w:val="28"/>
        </w:rPr>
        <w:t xml:space="preserve">3. Mapa síťového provozu</w:t>
      </w:r>
    </w:p>
    <w:p>
      <w:pPr>
        <w:spacing w:after="80" w:before="80"/>
      </w:pPr>
      <w:r>
        <w:rPr>
          <w:rFonts w:ascii="Arial" w:cs="Arial" w:eastAsia="Arial" w:hAnsi="Arial"/>
          <w:sz w:val="22"/>
          <w:szCs w:val="22"/>
        </w:rPr>
        <w:t xml:space="preserve">Následující tabulka klasifikuje veškerý síťový provoz systému LexisLocal:</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26"/>
      </w:tblGrid>
      <w:tr>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Cíl / Služba</w:t>
            </w:r>
          </w:p>
        </w:tc>
        <w:tc>
          <w:tcPr>
            <w:tcW w:type="dxa" w:w="1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Směr</w:t>
            </w:r>
          </w:p>
        </w:tc>
        <w:tc>
          <w:tcPr>
            <w:tcW w:type="dxa" w:w="1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Přenáší klientská data?</w:t>
            </w:r>
          </w:p>
        </w:tc>
        <w:tc>
          <w:tcPr>
            <w:tcW w:type="dxa" w:w="2626"/>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Poznámka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 vLLM inference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NE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Vše běží lokálně, žádný externí kontakt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ChromaDB (RAG)</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LAN only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B5E20"/>
                <w:sz w:val="20"/>
                <w:szCs w:val="20"/>
              </w:rPr>
              <w:t xml:space="preserve">NE</w:t>
            </w:r>
          </w:p>
        </w:tc>
        <w:tc>
          <w:tcPr>
            <w:tcW w:type="dxa" w:w="2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555555"/>
                <w:sz w:val="20"/>
                <w:szCs w:val="20"/>
              </w:rPr>
              <w:t xml:space="preserve">Vektorová databáze v paměti serveru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metadata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NE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Lokální soubor na serveru</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Whisper (přepis)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LAN only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B5E20"/>
                <w:sz w:val="20"/>
                <w:szCs w:val="20"/>
              </w:rPr>
              <w:t xml:space="preserve">NE</w:t>
            </w:r>
          </w:p>
        </w:tc>
        <w:tc>
          <w:tcPr>
            <w:tcW w:type="dxa" w:w="2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555555"/>
                <w:sz w:val="20"/>
                <w:szCs w:val="20"/>
              </w:rPr>
              <w:t xml:space="preserve">Lokální model, offline provoz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Word / Outlook Add-in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NE*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*Viz upozornění niže — ověřit telemetrii</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ISIR (insolvenční rejstřík)</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Internet → LAN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B5E20"/>
                <w:sz w:val="20"/>
                <w:szCs w:val="20"/>
              </w:rPr>
              <w:t xml:space="preserve">NE</w:t>
            </w:r>
          </w:p>
        </w:tc>
        <w:tc>
          <w:tcPr>
            <w:tcW w:type="dxa" w:w="2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555555"/>
                <w:sz w:val="20"/>
                <w:szCs w:val="20"/>
              </w:rPr>
              <w:t xml:space="preserve">Dotaz obsahuje jen IČO / jméno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Katastr nemovitostí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 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NE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Dotaz obsahuje jen č. parcely / LV</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ARES (registr firem)</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Internet → LAN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B5E20"/>
                <w:sz w:val="20"/>
                <w:szCs w:val="20"/>
              </w:rPr>
              <w:t xml:space="preserve">NE</w:t>
            </w:r>
          </w:p>
        </w:tc>
        <w:tc>
          <w:tcPr>
            <w:tcW w:type="dxa" w:w="2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555555"/>
                <w:sz w:val="20"/>
                <w:szCs w:val="20"/>
              </w:rPr>
              <w:t xml:space="preserve">Dotaz obsahuje jen IČO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Datové schránky (ISDS)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 obousměrně</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PODMÍNEČNĚ</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Odesílá dokumenty — dle zákona povinné</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EUR-Lex / CURIA / HUDOC</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Internet → LAN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B5E20"/>
                <w:sz w:val="20"/>
                <w:szCs w:val="20"/>
              </w:rPr>
              <w:t xml:space="preserve">NE</w:t>
            </w:r>
          </w:p>
        </w:tc>
        <w:tc>
          <w:tcPr>
            <w:tcW w:type="dxa" w:w="2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555555"/>
                <w:sz w:val="20"/>
                <w:szCs w:val="20"/>
              </w:rPr>
              <w:t xml:space="preserve">Stažení veřejné judikatury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AML sankční seznamy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 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NE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Stažení veřejných seznamů</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Aktualizace LLM modelů</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Internet → LAN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B5E20"/>
                <w:sz w:val="20"/>
                <w:szCs w:val="20"/>
              </w:rPr>
              <w:t xml:space="preserve">NE</w:t>
            </w:r>
          </w:p>
        </w:tc>
        <w:tc>
          <w:tcPr>
            <w:tcW w:type="dxa" w:w="2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555555"/>
                <w:sz w:val="20"/>
                <w:szCs w:val="20"/>
              </w:rPr>
              <w:t xml:space="preserve">Stahování vahů modelu (Hugging 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Zálohování do cloudu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 → Internet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ANO – ZAKÁZÁNO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Musí být explicitně zakázáno!</w:t>
            </w:r>
          </w:p>
        </w:tc>
      </w:tr>
    </w:tbl>
    <w:p>
      <w:pPr>
        <w:spacing w:after="0" w:before="200"/>
      </w:pPr>
      <w:r>
        <w:t xml:space="preserve"/>
      </w:r>
    </w:p>
    <w:p>
      <w:pPr>
        <w:pStyle w:val="Heading1"/>
        <w:spacing w:after="160" w:before="360"/>
      </w:pPr>
      <w:r>
        <w:rPr>
          <w:rFonts w:ascii="Arial" w:cs="Arial" w:eastAsia="Arial" w:hAnsi="Arial"/>
          <w:b/>
          <w:bCs/>
          <w:color w:val="1A4B8C"/>
          <w:sz w:val="28"/>
          <w:szCs w:val="28"/>
        </w:rPr>
        <w:t xml:space="preserve">4. Risková upozornění</w:t>
      </w:r>
    </w:p>
    <w:p>
      <w:pPr>
        <w:spacing w:after="80" w:before="80"/>
      </w:pPr>
      <w:r>
        <w:rPr>
          <w:rFonts w:ascii="Arial" w:cs="Arial" w:eastAsia="Arial" w:hAnsi="Arial"/>
          <w:sz w:val="22"/>
          <w:szCs w:val="22"/>
        </w:rPr>
        <w:t xml:space="preserve">Následující body vyžadují explicitní konfiguraci při implementaci:</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EBEE" w:val="clear"/>
            <w:tcMar>
              <w:top w:type="dxa" w:w="120"/>
              <w:left w:type="dxa" w:w="160"/>
              <w:bottom w:type="dxa" w:w="120"/>
              <w:right w:type="dxa" w:w="160"/>
            </w:tcMar>
          </w:tcPr>
          <w:p>
            <w:pPr>
              <w:spacing w:after="80" w:before="60"/>
            </w:pPr>
            <w:r>
              <w:rPr>
                <w:rFonts w:ascii="Arial" w:cs="Arial" w:eastAsia="Arial" w:hAnsi="Arial"/>
                <w:b/>
                <w:bCs/>
                <w:color w:val="B71C1C"/>
                <w:sz w:val="22"/>
                <w:szCs w:val="22"/>
              </w:rPr>
              <w:t xml:space="preserve">⚠️ Microsoft Office Add-in — telemetrie</w:t>
            </w:r>
          </w:p>
          <w:p>
            <w:pPr>
              <w:spacing w:after="60" w:before="0"/>
            </w:pPr>
            <w:r>
              <w:rPr>
                <w:rFonts w:ascii="Arial" w:cs="Arial" w:eastAsia="Arial" w:hAnsi="Arial"/>
                <w:sz w:val="22"/>
                <w:szCs w:val="22"/>
              </w:rPr>
              <w:t xml:space="preserve">Office Add-iny mohou odesílat metadata (názvy dokumentů, uživatelské akce) na Microsoftovy servery pro účely licencování a telemetrie. Řešení: správce IT musí v Group Policy explicitně vypnout diagnostická data Office (DiagnosticDataTypePolicy = 0) a zakázat Connected Experiences. Alternativně použít web dashboard nad LAN bez Office integrace.</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spacing w:after="80" w:before="60"/>
            </w:pPr>
            <w:r>
              <w:rPr>
                <w:rFonts w:ascii="Arial" w:cs="Arial" w:eastAsia="Arial" w:hAnsi="Arial"/>
                <w:b/>
                <w:bCs/>
                <w:color w:val="E65100"/>
                <w:sz w:val="22"/>
                <w:szCs w:val="22"/>
              </w:rPr>
              <w:t xml:space="preserve">⚠️ Whisper a jiné modely — cloudové fallback</w:t>
            </w:r>
          </w:p>
          <w:p>
            <w:pPr>
              <w:spacing w:after="60" w:before="0"/>
            </w:pPr>
            <w:r>
              <w:rPr>
                <w:rFonts w:ascii="Arial" w:cs="Arial" w:eastAsia="Arial" w:hAnsi="Arial"/>
                <w:sz w:val="22"/>
                <w:szCs w:val="22"/>
              </w:rPr>
              <w:t xml:space="preserve">Některé implementace nástrojů (např. faster-whisper, whisper.cpp) nabízejí cloudové API jako fallback při selhání lokálního modelu. Toto musí být v konfiguraci explicitně zakázáno. Doporučené nastavení: WHISPER_BACKEND=local, žádné API klíče pro cloudové služby v konfiguraci.</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EBEE" w:val="clear"/>
            <w:tcMar>
              <w:top w:type="dxa" w:w="120"/>
              <w:left w:type="dxa" w:w="160"/>
              <w:bottom w:type="dxa" w:w="120"/>
              <w:right w:type="dxa" w:w="160"/>
            </w:tcMar>
          </w:tcPr>
          <w:p>
            <w:pPr>
              <w:spacing w:after="80" w:before="60"/>
            </w:pPr>
            <w:r>
              <w:rPr>
                <w:rFonts w:ascii="Arial" w:cs="Arial" w:eastAsia="Arial" w:hAnsi="Arial"/>
                <w:b/>
                <w:bCs/>
                <w:color w:val="B71C1C"/>
                <w:sz w:val="22"/>
                <w:szCs w:val="22"/>
              </w:rPr>
              <w:t xml:space="preserve">⚠️ Zálohy — největší skryté riziko</w:t>
            </w:r>
          </w:p>
          <w:p>
            <w:pPr>
              <w:spacing w:after="60" w:before="0"/>
            </w:pPr>
            <w:r>
              <w:rPr>
                <w:rFonts w:ascii="Arial" w:cs="Arial" w:eastAsia="Arial" w:hAnsi="Arial"/>
                <w:sz w:val="22"/>
                <w:szCs w:val="22"/>
              </w:rPr>
              <w:t xml:space="preserve">Pokud kancelář zálohuje složky se spisy do OneDrive, Google Drive nebo jiného cloudového úložiště, veškerá datová suverenita padá bez ohledu na sebedokonalejší lokální AI. Zálohy musí směřovat výlučně na lokální zařízení (NAS, externí disk, ZFS pool) nebo certifikované on-premise úložiště.</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pPr>
              <w:spacing w:after="80" w:before="60"/>
            </w:pPr>
            <w:r>
              <w:rPr>
                <w:rFonts w:ascii="Arial" w:cs="Arial" w:eastAsia="Arial" w:hAnsi="Arial"/>
                <w:b/>
                <w:bCs/>
                <w:color w:val="1B5E20"/>
                <w:sz w:val="22"/>
                <w:szCs w:val="22"/>
              </w:rPr>
              <w:t xml:space="preserve">⚠️ Aktualizace modelů — air-gap okno</w:t>
            </w:r>
          </w:p>
          <w:p>
            <w:pPr>
              <w:spacing w:after="60" w:before="0"/>
            </w:pPr>
            <w:r>
              <w:rPr>
                <w:rFonts w:ascii="Arial" w:cs="Arial" w:eastAsia="Arial" w:hAnsi="Arial"/>
                <w:sz w:val="22"/>
                <w:szCs w:val="22"/>
              </w:rPr>
              <w:t xml:space="preserve">Stahování nových verzí LLM modelů z Hugging Face nebo Ollama registru je bezpečné — neodesílá se žádné klientské data. Doporučený postup: aktualizace provádět v definovaném „okně“ (např. nedělní rano), kdy server nemá přístup k datové složce spisů (dočasné odpojení sdíleného úložiště).</w:t>
            </w:r>
          </w:p>
        </w:tc>
      </w:tr>
    </w:tbl>
    <w:p>
      <w:pPr>
        <w:spacing w:after="0" w:before="200"/>
      </w:pPr>
      <w:r>
        <w:t xml:space="preserve"/>
      </w:r>
    </w:p>
    <w:p>
      <w:pPr>
        <w:pStyle w:val="Heading1"/>
        <w:spacing w:after="160" w:before="360"/>
      </w:pPr>
      <w:r>
        <w:rPr>
          <w:rFonts w:ascii="Arial" w:cs="Arial" w:eastAsia="Arial" w:hAnsi="Arial"/>
          <w:b/>
          <w:bCs/>
          <w:color w:val="1A4B8C"/>
          <w:sz w:val="28"/>
          <w:szCs w:val="28"/>
        </w:rPr>
        <w:t xml:space="preserve">5. Doporučená firewallová pravidla</w:t>
      </w:r>
    </w:p>
    <w:p>
      <w:pPr>
        <w:spacing w:after="80" w:before="80"/>
      </w:pPr>
      <w:r>
        <w:rPr>
          <w:rFonts w:ascii="Arial" w:cs="Arial" w:eastAsia="Arial" w:hAnsi="Arial"/>
          <w:sz w:val="22"/>
          <w:szCs w:val="22"/>
        </w:rPr>
        <w:t xml:space="preserve">Konfigurace pro AI server (platí pro pfSense, OPNsense nebo firemní UTM):</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Pravidlo</w:t>
            </w:r>
          </w:p>
        </w:tc>
        <w:tc>
          <w:tcPr>
            <w:tcW w:type="dxa" w:w="20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Akce</w:t>
            </w:r>
          </w:p>
        </w:tc>
        <w:tc>
          <w:tcPr>
            <w:tcW w:type="dxa" w:w="3826"/>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Důvod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server → internet (všechno)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BLOKOVAT (default)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Zamezení jakékoliv odchozí komunikace</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AI server → huggingface.co, ollama.com</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B5E20"/>
                <w:sz w:val="20"/>
                <w:szCs w:val="20"/>
              </w:rPr>
              <w:t xml:space="preserve">POVOLIT (aktualizační okno)</w:t>
            </w:r>
          </w:p>
        </w:tc>
        <w:tc>
          <w:tcPr>
            <w:tcW w:type="dxa" w:w="3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555555"/>
                <w:sz w:val="20"/>
                <w:szCs w:val="20"/>
              </w:rPr>
              <w:t xml:space="preserve">Stahování modelů dle časového plánu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server → justice.cz, isir.cz, ares.gov.cz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POVOLIT (GET only)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Veřejné registry — jednosměrné čtení</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AI server → cloud úložiště (OneDrive, S3...)</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71C1C"/>
                <w:sz w:val="20"/>
                <w:szCs w:val="20"/>
              </w:rPr>
              <w:t xml:space="preserve">BLOKOVAT</w:t>
            </w:r>
          </w:p>
        </w:tc>
        <w:tc>
          <w:tcPr>
            <w:tcW w:type="dxa" w:w="3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555555"/>
                <w:sz w:val="20"/>
                <w:szCs w:val="20"/>
              </w:rPr>
              <w:t xml:space="preserve">Ochrana před nechtěným zálohováním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Klientské PC → AI server (port 11434)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POVOLIT (LAN only)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Přístup k Ollama API z pracovních stanic</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Externí přístup → AI server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71C1C"/>
                <w:sz w:val="20"/>
                <w:szCs w:val="20"/>
              </w:rPr>
              <w:t xml:space="preserve">BLOKOVAT</w:t>
            </w:r>
          </w:p>
        </w:tc>
        <w:tc>
          <w:tcPr>
            <w:tcW w:type="dxa" w:w="3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555555"/>
                <w:sz w:val="20"/>
                <w:szCs w:val="20"/>
              </w:rPr>
              <w:t xml:space="preserve">Žádný přístup mimo LAN</w:t>
            </w:r>
          </w:p>
        </w:tc>
      </w:tr>
    </w:tbl>
    <w:p>
      <w:pPr>
        <w:spacing w:after="0" w:before="200"/>
      </w:pPr>
      <w:r>
        <w:t xml:space="preserve"/>
      </w:r>
    </w:p>
    <w:p>
      <w:pPr>
        <w:pStyle w:val="Heading1"/>
        <w:spacing w:after="160" w:before="360"/>
      </w:pPr>
      <w:r>
        <w:rPr>
          <w:rFonts w:ascii="Arial" w:cs="Arial" w:eastAsia="Arial" w:hAnsi="Arial"/>
          <w:b/>
          <w:bCs/>
          <w:color w:val="1A4B8C"/>
          <w:sz w:val="28"/>
          <w:szCs w:val="28"/>
        </w:rPr>
        <w:t xml:space="preserve">6. Datové schránky (ISDS) — zvláštní případ</w:t>
      </w:r>
    </w:p>
    <w:p>
      <w:pPr>
        <w:spacing w:after="80" w:before="80"/>
      </w:pPr>
      <w:r>
        <w:rPr>
          <w:rFonts w:ascii="Arial" w:cs="Arial" w:eastAsia="Arial" w:hAnsi="Arial"/>
          <w:sz w:val="22"/>
          <w:szCs w:val="22"/>
        </w:rPr>
        <w:t xml:space="preserve">ISDS je jedinou službou v návrhu, kde dochází k obousměrné komunikaci s klientskými dokumenty:</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Systém stahuje přijaté zprávy z datové schránky (internet → LAN) — bezpečné.</w:t>
      </w:r>
    </w:p>
    <w:p>
      <w:pPr>
        <w:pStyle w:val="ListParagraph"/>
        <w:numPr>
          <w:ilvl w:val="0"/>
          <w:numId w:val="2"/>
        </w:numPr>
        <w:spacing w:after="60" w:before="60"/>
      </w:pPr>
      <w:r>
        <w:rPr>
          <w:rFonts w:ascii="Arial" w:cs="Arial" w:eastAsia="Arial" w:hAnsi="Arial"/>
          <w:sz w:val="22"/>
          <w:szCs w:val="22"/>
        </w:rPr>
        <w:t xml:space="preserve">Systém odesílá dokumenty přes datovou schránku (LAN → internet) — nevyhnutelné ze zákona.</w:t>
      </w:r>
    </w:p>
    <w:p>
      <w:pPr>
        <w:spacing w:after="0" w:before="80"/>
      </w:pPr>
      <w:r>
        <w:t xml:space="preserve"/>
      </w:r>
    </w:p>
    <w:p>
      <w:pPr>
        <w:spacing w:after="80" w:before="80"/>
      </w:pPr>
      <w:r>
        <w:rPr>
          <w:rFonts w:ascii="Arial" w:cs="Arial" w:eastAsia="Arial" w:hAnsi="Arial"/>
          <w:sz w:val="22"/>
          <w:szCs w:val="22"/>
        </w:rPr>
        <w:t xml:space="preserve">Toto nepředstavuje bezpečnostní riziko ve smyslu GDPR, protože:</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ISDS je ze zákona povinný komunikační kanál (zákon č. 300/2008 Sb.)</w:t>
      </w:r>
    </w:p>
    <w:p>
      <w:pPr>
        <w:pStyle w:val="ListParagraph"/>
        <w:numPr>
          <w:ilvl w:val="0"/>
          <w:numId w:val="2"/>
        </w:numPr>
        <w:spacing w:after="60" w:before="60"/>
      </w:pPr>
      <w:r>
        <w:rPr>
          <w:rFonts w:ascii="Arial" w:cs="Arial" w:eastAsia="Arial" w:hAnsi="Arial"/>
          <w:sz w:val="22"/>
          <w:szCs w:val="22"/>
        </w:rPr>
        <w:t xml:space="preserve">Správcem systému je Ministerstvo vnitra ČR, nikoliv komerční provozovatel</w:t>
      </w:r>
    </w:p>
    <w:p>
      <w:pPr>
        <w:pStyle w:val="ListParagraph"/>
        <w:numPr>
          <w:ilvl w:val="0"/>
          <w:numId w:val="2"/>
        </w:numPr>
        <w:spacing w:after="60" w:before="60"/>
      </w:pPr>
      <w:r>
        <w:rPr>
          <w:rFonts w:ascii="Arial" w:cs="Arial" w:eastAsia="Arial" w:hAnsi="Arial"/>
          <w:sz w:val="22"/>
          <w:szCs w:val="22"/>
        </w:rPr>
        <w:t xml:space="preserve">Komunikace je end-to-end šifrována a archivována ze zákona</w:t>
      </w:r>
    </w:p>
    <w:p>
      <w:pPr>
        <w:pStyle w:val="ListParagraph"/>
        <w:numPr>
          <w:ilvl w:val="0"/>
          <w:numId w:val="2"/>
        </w:numPr>
        <w:spacing w:after="60" w:before="60"/>
      </w:pPr>
      <w:r>
        <w:rPr>
          <w:rFonts w:ascii="Arial" w:cs="Arial" w:eastAsia="Arial" w:hAnsi="Arial"/>
          <w:sz w:val="22"/>
          <w:szCs w:val="22"/>
        </w:rPr>
        <w:t xml:space="preserve">Advokát již nyní datovové schránky používá — LexisLocal pouze automatizuje stávající právní povinnost</w:t>
      </w:r>
    </w:p>
    <w:p>
      <w:pPr>
        <w:spacing w:after="0" w:before="200"/>
      </w:pPr>
      <w:r>
        <w:t xml:space="preserve"/>
      </w:r>
    </w:p>
    <w:p>
      <w:pPr>
        <w:pStyle w:val="Heading1"/>
        <w:spacing w:after="160" w:before="360"/>
      </w:pPr>
      <w:r>
        <w:rPr>
          <w:rFonts w:ascii="Arial" w:cs="Arial" w:eastAsia="Arial" w:hAnsi="Arial"/>
          <w:b/>
          <w:bCs/>
          <w:color w:val="1A4B8C"/>
          <w:sz w:val="28"/>
          <w:szCs w:val="28"/>
        </w:rPr>
        <w:t xml:space="preserve">7. Závěr: klasifikace systému</w:t>
      </w:r>
    </w:p>
    <w:p>
      <w:pPr>
        <w:spacing w:after="80" w:before="80"/>
      </w:pPr>
      <w:r>
        <w:rPr>
          <w:rFonts w:ascii="Arial" w:cs="Arial" w:eastAsia="Arial" w:hAnsi="Arial"/>
          <w:sz w:val="22"/>
          <w:szCs w:val="22"/>
        </w:rPr>
        <w:t xml:space="preserve">Na základě výše uvedené analýzy lze systém LexisLocal klasifikovat takto:</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pPr>
              <w:spacing w:after="80" w:before="60"/>
            </w:pPr>
            <w:r>
              <w:rPr>
                <w:rFonts w:ascii="Arial" w:cs="Arial" w:eastAsia="Arial" w:hAnsi="Arial"/>
                <w:b/>
                <w:bCs/>
                <w:color w:val="1B5E20"/>
                <w:sz w:val="22"/>
                <w:szCs w:val="22"/>
              </w:rPr>
              <w:t xml:space="preserve">✅  Klientská data: 100% lokální</w:t>
            </w:r>
          </w:p>
          <w:p>
            <w:pPr>
              <w:spacing w:after="60" w:before="0"/>
            </w:pPr>
            <w:r>
              <w:rPr>
                <w:rFonts w:ascii="Arial" w:cs="Arial" w:eastAsia="Arial" w:hAnsi="Arial"/>
                <w:sz w:val="22"/>
                <w:szCs w:val="22"/>
              </w:rPr>
              <w:t xml:space="preserve">Všechna klientská data (spisy, smlouvy, e-maily, záznamy) nikdy neopustí LAN. AI inference, RAG dotazy a všechny AI funkce probíhají výlučně na interním serveru.</w:t>
            </w:r>
          </w:p>
          <w:p>
            <w:pPr>
              <w:spacing w:after="80" w:before="60"/>
            </w:pPr>
            <w:r>
              <w:rPr>
                <w:rFonts w:ascii="Arial" w:cs="Arial" w:eastAsia="Arial" w:hAnsi="Arial"/>
                <w:b/>
                <w:bCs/>
                <w:color w:val="1B5E20"/>
                <w:sz w:val="22"/>
                <w:szCs w:val="22"/>
              </w:rPr>
              <w:t xml:space="preserve">✅  Veřejné registry: jednosměrný příjem</w:t>
            </w:r>
          </w:p>
          <w:p>
            <w:pPr>
              <w:spacing w:after="60" w:before="0"/>
            </w:pPr>
            <w:r>
              <w:rPr>
                <w:rFonts w:ascii="Arial" w:cs="Arial" w:eastAsia="Arial" w:hAnsi="Arial"/>
                <w:sz w:val="22"/>
                <w:szCs w:val="22"/>
              </w:rPr>
              <w:t xml:space="preserve">Integrace s ISIR, katastrem, ARES a dalšími registry jsou funkčně ekvivalentní manuálnímu prohlížení webu. Dotaz neobsahuje klientské dokumenty, pouze identifikátory (IČO, jméno, č. parcely).</w:t>
            </w:r>
          </w:p>
          <w:p>
            <w:pPr>
              <w:spacing w:after="80" w:before="60"/>
            </w:pPr>
            <w:r>
              <w:rPr>
                <w:rFonts w:ascii="Arial" w:cs="Arial" w:eastAsia="Arial" w:hAnsi="Arial"/>
                <w:b/>
                <w:bCs/>
                <w:color w:val="E65100"/>
                <w:sz w:val="22"/>
                <w:szCs w:val="22"/>
              </w:rPr>
              <w:t xml:space="preserve">⚠️ Podmínka: správná konfigurace</w:t>
            </w:r>
          </w:p>
          <w:p>
            <w:pPr>
              <w:spacing w:after="60" w:before="0"/>
            </w:pPr>
            <w:r>
              <w:rPr>
                <w:rFonts w:ascii="Arial" w:cs="Arial" w:eastAsia="Arial" w:hAnsi="Arial"/>
                <w:sz w:val="22"/>
                <w:szCs w:val="22"/>
              </w:rPr>
              <w:t xml:space="preserve">Datová suverenita platí pouze při dodržení: (1) zákaz cloudových záloh, (2) vypnutí telemetrie Office, (3) zakaz cloudového fallbacku u všech lokálních modelů, (4) firewallová pravidla dle sekce 5.</w:t>
            </w:r>
          </w:p>
        </w:tc>
      </w:tr>
    </w:tbl>
    <w:p>
      <w:pPr>
        <w:spacing w:after="0" w:before="240"/>
      </w:pPr>
      <w:r>
        <w:t xml:space="preserve"/>
      </w:r>
    </w:p>
    <w:p>
      <w:pPr>
        <w:spacing w:after="40" w:before="200"/>
        <w:jc w:val="center"/>
      </w:pPr>
      <w:r>
        <w:rPr>
          <w:rFonts w:ascii="Arial" w:cs="Arial" w:eastAsia="Arial" w:hAnsi="Arial"/>
          <w:color w:val="999999"/>
          <w:sz w:val="18"/>
          <w:szCs w:val="18"/>
        </w:rPr>
        <w:t xml:space="preserve">Zdeněk Dias • Antigravity AI</w:t>
      </w:r>
    </w:p>
    <w:p>
      <w:pPr>
        <w:spacing w:after="0" w:before="0"/>
        <w:jc w:val="center"/>
      </w:pPr>
      <w:r>
        <w:rPr>
          <w:rFonts w:ascii="Arial" w:cs="Arial" w:eastAsia="Arial" w:hAnsi="Arial"/>
          <w:color w:val="CCCCCC"/>
          <w:sz w:val="18"/>
          <w:szCs w:val="18"/>
        </w:rPr>
        <w:t xml:space="preserve">© 2026 | LexisLocal Projektový návrh — Dodatečná dokumentace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LexisLocal — Dodatek: Síťová politika a datová suverenita | v1.0 | 2026 | Strana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4B8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2026-05-19T07:31:03.573Z</dcterms:created>
  <dcterms:modified xsi:type="dcterms:W3CDTF">2026-05-19T07:31:03.573Z</dcterms:modified>
</cp:coreProperties>
</file>

<file path=docProps/custom.xml><?xml version="1.0" encoding="utf-8"?>
<Properties xmlns="http://schemas.openxmlformats.org/officeDocument/2006/custom-properties" xmlns:vt="http://schemas.openxmlformats.org/officeDocument/2006/docPropsVTypes"/>
</file>