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933B" w14:textId="66A0A172" w:rsidR="00221863" w:rsidRDefault="004B1146" w:rsidP="004B1146">
      <w:pPr>
        <w:pStyle w:val="Title"/>
      </w:pPr>
      <w:r>
        <w:t>EMTH211-22S2 Assignment 1</w:t>
      </w:r>
    </w:p>
    <w:p w14:paraId="330EE66C" w14:textId="1C82DDA3" w:rsidR="00C70028" w:rsidRPr="00A33C6A" w:rsidRDefault="00C70028" w:rsidP="00C70028">
      <w:r>
        <w:t>Th</w:t>
      </w:r>
      <w:r w:rsidR="00526603">
        <w:t>is</w:t>
      </w:r>
      <w:r>
        <w:t xml:space="preserve"> assignment is due </w:t>
      </w:r>
      <w:r w:rsidR="00BE166A" w:rsidRPr="00BE166A">
        <w:rPr>
          <w:b/>
          <w:bCs/>
        </w:rPr>
        <w:t>5</w:t>
      </w:r>
      <w:r w:rsidR="007F4611">
        <w:rPr>
          <w:b/>
          <w:bCs/>
        </w:rPr>
        <w:t>:00</w:t>
      </w:r>
      <w:r w:rsidR="00BE166A" w:rsidRPr="00BE166A">
        <w:rPr>
          <w:b/>
          <w:bCs/>
        </w:rPr>
        <w:t>PM</w:t>
      </w:r>
      <w:r w:rsidR="00BE166A">
        <w:t xml:space="preserve"> </w:t>
      </w:r>
      <w:r w:rsidR="00BE166A">
        <w:rPr>
          <w:b/>
          <w:bCs/>
        </w:rPr>
        <w:t xml:space="preserve">Friday </w:t>
      </w:r>
      <w:r w:rsidR="00527B7D">
        <w:rPr>
          <w:b/>
          <w:bCs/>
        </w:rPr>
        <w:t xml:space="preserve">23 September </w:t>
      </w:r>
      <w:r w:rsidR="00BE166A">
        <w:t xml:space="preserve">and is to be handed through the boxes on Level 4 in the Mathematics &amp; Statistics Department (Erskine). </w:t>
      </w:r>
      <w:r w:rsidR="00D92E32">
        <w:t xml:space="preserve">If you want to be eligible for the </w:t>
      </w:r>
      <w:r w:rsidR="002E637E">
        <w:t xml:space="preserve">cover sheet meme prizes, </w:t>
      </w:r>
      <w:r w:rsidR="002E637E" w:rsidRPr="0084746B">
        <w:rPr>
          <w:b/>
          <w:bCs/>
        </w:rPr>
        <w:t xml:space="preserve">please </w:t>
      </w:r>
      <w:r w:rsidR="00744BF8" w:rsidRPr="0084746B">
        <w:rPr>
          <w:b/>
          <w:bCs/>
        </w:rPr>
        <w:t xml:space="preserve">submit </w:t>
      </w:r>
      <w:r w:rsidR="0084746B" w:rsidRPr="0084746B">
        <w:rPr>
          <w:b/>
          <w:bCs/>
        </w:rPr>
        <w:t>your meme to the Learn dropbox</w:t>
      </w:r>
      <w:r w:rsidR="0084746B">
        <w:t xml:space="preserve"> in the Assignments section. </w:t>
      </w:r>
      <w:r w:rsidR="00BE166A">
        <w:t xml:space="preserve">This assignment is worth </w:t>
      </w:r>
      <w:r w:rsidR="00A33C6A" w:rsidRPr="00A33C6A">
        <w:rPr>
          <w:b/>
          <w:bCs/>
        </w:rPr>
        <w:t>10%</w:t>
      </w:r>
      <w:r w:rsidR="00A33C6A">
        <w:t xml:space="preserve"> of your final grade. You may work </w:t>
      </w:r>
      <w:r w:rsidR="00A33C6A" w:rsidRPr="00A33C6A">
        <w:rPr>
          <w:b/>
          <w:bCs/>
        </w:rPr>
        <w:t>by yourself or with one other person</w:t>
      </w:r>
      <w:r w:rsidR="00A33C6A">
        <w:rPr>
          <w:b/>
          <w:bCs/>
        </w:rPr>
        <w:t xml:space="preserve">. </w:t>
      </w:r>
      <w:r w:rsidR="00A33C6A">
        <w:t xml:space="preserve">If you hand in a joint assignment, you will each be given the same mark. Please complete and attach the cover sheet to your assignment before submitting your assignment. </w:t>
      </w:r>
    </w:p>
    <w:p w14:paraId="6417C2F9" w14:textId="4037ADAF" w:rsidR="00A36440" w:rsidRDefault="00A36440" w:rsidP="00A36440">
      <w:pPr>
        <w:pStyle w:val="Heading1"/>
      </w:pPr>
      <w:r>
        <w:t>Assignment Guidelines</w:t>
      </w:r>
    </w:p>
    <w:p w14:paraId="48466D1C" w14:textId="77777777" w:rsidR="00030B40" w:rsidRDefault="00A36440" w:rsidP="00A36440">
      <w:r>
        <w:t xml:space="preserve">The </w:t>
      </w:r>
      <w:r w:rsidR="009B7B86">
        <w:t xml:space="preserve">main </w:t>
      </w:r>
      <w:r>
        <w:t xml:space="preserve">purpose of this assignment is </w:t>
      </w:r>
      <w:r w:rsidR="009B7B86">
        <w:t xml:space="preserve">to give you a chance to apply what you have learned from lectures to </w:t>
      </w:r>
      <w:r w:rsidR="003658DB">
        <w:t xml:space="preserve">some more involved problems. </w:t>
      </w:r>
      <w:r w:rsidR="00EC3676">
        <w:t xml:space="preserve">While assessing you on your ability to write a clear </w:t>
      </w:r>
      <w:r w:rsidR="00870597">
        <w:t xml:space="preserve">and </w:t>
      </w:r>
      <w:r w:rsidR="00EC3676">
        <w:t xml:space="preserve">concise report is not </w:t>
      </w:r>
      <w:r w:rsidR="003A28C4">
        <w:t>the main goal, there will be some marks set aside for clarity</w:t>
      </w:r>
      <w:r w:rsidR="00870597">
        <w:t xml:space="preserve">, </w:t>
      </w:r>
      <w:r w:rsidR="00797054">
        <w:t>readability, and grammar (</w:t>
      </w:r>
      <w:r w:rsidR="00030B40">
        <w:t xml:space="preserve">this will be helpful experience for </w:t>
      </w:r>
      <w:r w:rsidR="004F6581">
        <w:t>some of the stricter engineering reports in future courses</w:t>
      </w:r>
      <w:r w:rsidR="00571893">
        <w:t>)</w:t>
      </w:r>
      <w:r w:rsidR="00797054">
        <w:t xml:space="preserve">. </w:t>
      </w:r>
    </w:p>
    <w:p w14:paraId="20383A0B" w14:textId="068B70CA" w:rsidR="0023750B" w:rsidRDefault="0023750B" w:rsidP="00A36440">
      <w:r>
        <w:t>Here are a few key guidelines:</w:t>
      </w:r>
    </w:p>
    <w:p w14:paraId="2E72A470" w14:textId="074F6800" w:rsidR="0023750B" w:rsidRDefault="0023750B" w:rsidP="0023750B">
      <w:pPr>
        <w:pStyle w:val="ListParagraph"/>
        <w:numPr>
          <w:ilvl w:val="0"/>
          <w:numId w:val="7"/>
        </w:numPr>
        <w:jc w:val="left"/>
      </w:pPr>
      <w:r>
        <w:t xml:space="preserve">You should not need a </w:t>
      </w:r>
      <w:r w:rsidR="009A1F5B">
        <w:t>large introduction</w:t>
      </w:r>
      <w:r w:rsidR="0070041D">
        <w:t xml:space="preserve"> or conclusion</w:t>
      </w:r>
      <w:r w:rsidR="00617CB9">
        <w:t xml:space="preserve">. You can assume that the reader has access to the assignment questions, so </w:t>
      </w:r>
      <w:r w:rsidR="00223141">
        <w:t xml:space="preserve">do not worry about retyping the whole question out again. </w:t>
      </w:r>
      <w:r w:rsidR="0085686A">
        <w:t>One or two sentences to explain the background of each question is sufficient</w:t>
      </w:r>
      <w:r w:rsidR="00B720FA">
        <w:t xml:space="preserve"> for introduction, and you do not need a conclusion </w:t>
      </w:r>
      <w:r w:rsidR="00473E76">
        <w:t xml:space="preserve">for </w:t>
      </w:r>
      <w:r w:rsidR="00B720FA">
        <w:t xml:space="preserve">the whole assignment. </w:t>
      </w:r>
    </w:p>
    <w:p w14:paraId="61EE9512" w14:textId="592FE44F" w:rsidR="00473E76" w:rsidRDefault="00473E76" w:rsidP="0023750B">
      <w:pPr>
        <w:pStyle w:val="ListParagraph"/>
        <w:numPr>
          <w:ilvl w:val="0"/>
          <w:numId w:val="7"/>
        </w:numPr>
        <w:jc w:val="left"/>
      </w:pPr>
      <w:r>
        <w:t xml:space="preserve">Each question has its own context (even if that context is purely mathematical) and you should answer within that context. </w:t>
      </w:r>
    </w:p>
    <w:p w14:paraId="1D569939" w14:textId="7C545D31" w:rsidR="00473E76" w:rsidRDefault="00473E76" w:rsidP="0023750B">
      <w:pPr>
        <w:pStyle w:val="ListParagraph"/>
        <w:numPr>
          <w:ilvl w:val="0"/>
          <w:numId w:val="7"/>
        </w:numPr>
        <w:jc w:val="left"/>
      </w:pPr>
      <w:r>
        <w:t>Explain how you calculated your answers with enough detail to show that you understand the method.</w:t>
      </w:r>
    </w:p>
    <w:p w14:paraId="4B881CCF" w14:textId="58A27220" w:rsidR="00473E76" w:rsidRDefault="00473E76" w:rsidP="00473E76">
      <w:pPr>
        <w:pStyle w:val="ListParagraph"/>
        <w:numPr>
          <w:ilvl w:val="1"/>
          <w:numId w:val="7"/>
        </w:numPr>
        <w:jc w:val="left"/>
      </w:pPr>
      <w:r>
        <w:t>You can do</w:t>
      </w:r>
      <w:r w:rsidR="00762121">
        <w:t xml:space="preserve"> this several ways. Consider using a combination of paragraphs, tables, equations, working, diagrams, snippets of code, etc. to describe your methods and decisions.</w:t>
      </w:r>
    </w:p>
    <w:p w14:paraId="6B012D95" w14:textId="38F758C2" w:rsidR="00762121" w:rsidRDefault="00762121" w:rsidP="00473E76">
      <w:pPr>
        <w:pStyle w:val="ListParagraph"/>
        <w:numPr>
          <w:ilvl w:val="1"/>
          <w:numId w:val="7"/>
        </w:numPr>
        <w:jc w:val="left"/>
      </w:pPr>
      <w:r>
        <w:t>You can assume the reader of your assignment has the basic mathematical knowledge required for this course (e.g. you don’t need to explain what matrix multiplication is).</w:t>
      </w:r>
    </w:p>
    <w:p w14:paraId="0414ECF0" w14:textId="1089A5F5" w:rsidR="00762121" w:rsidRDefault="00762121" w:rsidP="00762121">
      <w:pPr>
        <w:pStyle w:val="ListParagraph"/>
        <w:numPr>
          <w:ilvl w:val="0"/>
          <w:numId w:val="7"/>
        </w:numPr>
        <w:jc w:val="left"/>
      </w:pPr>
      <w:r>
        <w:t>Lay out your final answers clearly.</w:t>
      </w:r>
    </w:p>
    <w:p w14:paraId="195285A4" w14:textId="4B19D262" w:rsidR="00762121" w:rsidRDefault="00762121" w:rsidP="00762121">
      <w:pPr>
        <w:pStyle w:val="ListParagraph"/>
        <w:numPr>
          <w:ilvl w:val="0"/>
          <w:numId w:val="7"/>
        </w:numPr>
        <w:jc w:val="left"/>
      </w:pPr>
      <w:r>
        <w:t xml:space="preserve">You should not include large code scripts in the main body of your assignment but including them in appendices would be appropriate. </w:t>
      </w:r>
    </w:p>
    <w:p w14:paraId="0FFA4523" w14:textId="256C63E7" w:rsidR="00B932C7" w:rsidRDefault="00B932C7" w:rsidP="00B932C7">
      <w:pPr>
        <w:pStyle w:val="Heading1"/>
      </w:pPr>
      <w:r>
        <w:t>Cover sheet</w:t>
      </w:r>
    </w:p>
    <w:p w14:paraId="0A5D0D4B" w14:textId="0EC8F3E9" w:rsidR="0023750B" w:rsidRDefault="00B932C7" w:rsidP="00683D6B">
      <w:r>
        <w:t>Please use the cover sheet</w:t>
      </w:r>
      <w:r w:rsidR="0084746B">
        <w:t xml:space="preserve"> template</w:t>
      </w:r>
      <w:r>
        <w:t xml:space="preserve"> on the following page</w:t>
      </w:r>
      <w:r w:rsidR="00DE5B8A">
        <w:t xml:space="preserve"> for your assignment</w:t>
      </w:r>
      <w:r w:rsidR="00C0001C">
        <w:t xml:space="preserve">. The meme is optional, but </w:t>
      </w:r>
      <w:r w:rsidR="00B511A5">
        <w:t>the best memes may be eligible for a chocolate-y and/or plushy feline prize, as judged by Nic, Luke, Michael and Rua</w:t>
      </w:r>
      <w:r w:rsidR="002F05BD">
        <w:t>.</w:t>
      </w:r>
      <w:r w:rsidR="00E815BF">
        <w:t xml:space="preserve"> </w:t>
      </w:r>
      <w:r w:rsidR="00B7773C">
        <w:t>Memes should be appropriate</w:t>
      </w:r>
      <w:r w:rsidR="00377B4D">
        <w:t xml:space="preserve"> (refer to the memes shown in lectures for baseline</w:t>
      </w:r>
      <w:r w:rsidR="00BF2ED8">
        <w:t>)</w:t>
      </w:r>
      <w:r w:rsidR="00B7773C">
        <w:t xml:space="preserve">, and </w:t>
      </w:r>
      <w:r w:rsidR="00377B4D">
        <w:t xml:space="preserve">(at least tangentially) related to the course. </w:t>
      </w:r>
      <w:r w:rsidR="00B511A5">
        <w:t xml:space="preserve">Please also upload your meme to the dropbox on Learn, as we will select the winners from the dropbox. </w:t>
      </w:r>
    </w:p>
    <w:p w14:paraId="06D7FBEA" w14:textId="33E5844B" w:rsidR="002F05BD" w:rsidRDefault="002F05BD">
      <w:pPr>
        <w:jc w:val="left"/>
      </w:pPr>
      <w:r>
        <w:br w:type="page"/>
      </w:r>
      <w:r w:rsidR="009D6E38">
        <w:lastRenderedPageBreak/>
        <w:t>J`</w:t>
      </w:r>
    </w:p>
    <w:p w14:paraId="62AF9E9D" w14:textId="4ADDA854" w:rsidR="007F4611" w:rsidRPr="007F4611" w:rsidRDefault="002F05BD" w:rsidP="007F4611">
      <w:pPr>
        <w:pStyle w:val="Title"/>
        <w:jc w:val="center"/>
      </w:pPr>
      <w:r>
        <w:t>EMTH211 – Assignment 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2F05BD" w14:paraId="4AEB9E61" w14:textId="77777777" w:rsidTr="002F05BD">
        <w:tc>
          <w:tcPr>
            <w:tcW w:w="3539" w:type="dxa"/>
          </w:tcPr>
          <w:p w14:paraId="19CE2198" w14:textId="47FA31CE" w:rsidR="002F05BD" w:rsidRPr="007F4611" w:rsidRDefault="002F05BD" w:rsidP="002F05BD">
            <w:pPr>
              <w:spacing w:line="480" w:lineRule="auto"/>
              <w:rPr>
                <w:sz w:val="40"/>
                <w:szCs w:val="40"/>
              </w:rPr>
            </w:pPr>
            <w:r w:rsidRPr="007F4611">
              <w:rPr>
                <w:sz w:val="40"/>
                <w:szCs w:val="40"/>
              </w:rPr>
              <w:t>Name(s):</w:t>
            </w:r>
          </w:p>
        </w:tc>
        <w:tc>
          <w:tcPr>
            <w:tcW w:w="5477" w:type="dxa"/>
          </w:tcPr>
          <w:p w14:paraId="13EB74C6" w14:textId="274A9AF2" w:rsidR="002F05BD" w:rsidRPr="007F4611" w:rsidRDefault="00380597" w:rsidP="002F05BD">
            <w:pPr>
              <w:spacing w:line="48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Dominic McNulty</w:t>
            </w:r>
          </w:p>
        </w:tc>
      </w:tr>
      <w:tr w:rsidR="002F05BD" w14:paraId="1D78D5A1" w14:textId="77777777" w:rsidTr="002F05BD">
        <w:tc>
          <w:tcPr>
            <w:tcW w:w="3539" w:type="dxa"/>
          </w:tcPr>
          <w:p w14:paraId="4C27CFE5" w14:textId="2EB832C4" w:rsidR="002F05BD" w:rsidRPr="007F4611" w:rsidRDefault="002F05BD" w:rsidP="002F05BD">
            <w:pPr>
              <w:spacing w:line="480" w:lineRule="auto"/>
              <w:rPr>
                <w:sz w:val="40"/>
                <w:szCs w:val="40"/>
              </w:rPr>
            </w:pPr>
            <w:r w:rsidRPr="007F4611">
              <w:rPr>
                <w:sz w:val="40"/>
                <w:szCs w:val="40"/>
              </w:rPr>
              <w:t>Student ID(s):</w:t>
            </w:r>
          </w:p>
        </w:tc>
        <w:tc>
          <w:tcPr>
            <w:tcW w:w="5477" w:type="dxa"/>
          </w:tcPr>
          <w:p w14:paraId="2E5F6A2C" w14:textId="53B4CD41" w:rsidR="002F05BD" w:rsidRPr="007F4611" w:rsidRDefault="00380597" w:rsidP="002F05BD">
            <w:pPr>
              <w:spacing w:line="48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57881020</w:t>
            </w:r>
          </w:p>
        </w:tc>
      </w:tr>
      <w:tr w:rsidR="002F05BD" w14:paraId="11CD9502" w14:textId="77777777" w:rsidTr="002F05BD">
        <w:tc>
          <w:tcPr>
            <w:tcW w:w="3539" w:type="dxa"/>
          </w:tcPr>
          <w:p w14:paraId="3FA84B71" w14:textId="60B96202" w:rsidR="002F05BD" w:rsidRPr="007F4611" w:rsidRDefault="002F05BD" w:rsidP="002F05BD">
            <w:pPr>
              <w:spacing w:line="480" w:lineRule="auto"/>
              <w:rPr>
                <w:sz w:val="40"/>
                <w:szCs w:val="40"/>
              </w:rPr>
            </w:pPr>
            <w:r w:rsidRPr="007F4611">
              <w:rPr>
                <w:sz w:val="40"/>
                <w:szCs w:val="40"/>
              </w:rPr>
              <w:t>Tutorial Group(s):</w:t>
            </w:r>
          </w:p>
        </w:tc>
        <w:tc>
          <w:tcPr>
            <w:tcW w:w="5477" w:type="dxa"/>
          </w:tcPr>
          <w:p w14:paraId="3663129B" w14:textId="56524185" w:rsidR="002F05BD" w:rsidRPr="007F4611" w:rsidRDefault="00380597" w:rsidP="002F05BD">
            <w:pPr>
              <w:spacing w:line="480" w:lineRule="auto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Friday 3pm</w:t>
            </w:r>
          </w:p>
        </w:tc>
      </w:tr>
      <w:tr w:rsidR="002F05BD" w14:paraId="364088A8" w14:textId="77777777" w:rsidTr="002F05BD">
        <w:tc>
          <w:tcPr>
            <w:tcW w:w="3539" w:type="dxa"/>
          </w:tcPr>
          <w:p w14:paraId="29CB96EE" w14:textId="0A7B0485" w:rsidR="002F05BD" w:rsidRPr="007F4611" w:rsidRDefault="002F05BD" w:rsidP="002F05BD">
            <w:pPr>
              <w:spacing w:line="480" w:lineRule="auto"/>
              <w:rPr>
                <w:sz w:val="40"/>
                <w:szCs w:val="40"/>
              </w:rPr>
            </w:pPr>
            <w:r w:rsidRPr="007F4611">
              <w:rPr>
                <w:sz w:val="40"/>
                <w:szCs w:val="40"/>
              </w:rPr>
              <w:t>Signatures(s):</w:t>
            </w:r>
          </w:p>
        </w:tc>
        <w:tc>
          <w:tcPr>
            <w:tcW w:w="5477" w:type="dxa"/>
          </w:tcPr>
          <w:p w14:paraId="0269F74A" w14:textId="073F7FA2" w:rsidR="002F05BD" w:rsidRPr="007F4611" w:rsidRDefault="002F05BD" w:rsidP="002F05BD">
            <w:pPr>
              <w:spacing w:line="480" w:lineRule="auto"/>
              <w:rPr>
                <w:sz w:val="40"/>
                <w:szCs w:val="40"/>
              </w:rPr>
            </w:pPr>
          </w:p>
        </w:tc>
      </w:tr>
      <w:tr w:rsidR="00EC758D" w14:paraId="7A9AC5D8" w14:textId="77777777" w:rsidTr="002F05BD">
        <w:tc>
          <w:tcPr>
            <w:tcW w:w="3539" w:type="dxa"/>
          </w:tcPr>
          <w:p w14:paraId="4D1C710D" w14:textId="77777777" w:rsidR="00EC758D" w:rsidRPr="007F4611" w:rsidRDefault="00EC758D" w:rsidP="002F05BD">
            <w:pPr>
              <w:spacing w:line="480" w:lineRule="auto"/>
              <w:rPr>
                <w:sz w:val="40"/>
                <w:szCs w:val="40"/>
              </w:rPr>
            </w:pPr>
          </w:p>
        </w:tc>
        <w:tc>
          <w:tcPr>
            <w:tcW w:w="5477" w:type="dxa"/>
          </w:tcPr>
          <w:p w14:paraId="5729D344" w14:textId="77777777" w:rsidR="00EC758D" w:rsidRPr="007F4611" w:rsidRDefault="00EC758D" w:rsidP="002F05BD">
            <w:pPr>
              <w:spacing w:line="480" w:lineRule="auto"/>
              <w:rPr>
                <w:sz w:val="40"/>
                <w:szCs w:val="40"/>
              </w:rPr>
            </w:pPr>
          </w:p>
        </w:tc>
      </w:tr>
    </w:tbl>
    <w:p w14:paraId="61BA9829" w14:textId="77777777" w:rsidR="002F05BD" w:rsidRDefault="002F05BD" w:rsidP="002F05BD">
      <w:pPr>
        <w:jc w:val="center"/>
      </w:pPr>
    </w:p>
    <w:p w14:paraId="6D08CB4E" w14:textId="5A713C28" w:rsidR="007F4611" w:rsidRPr="007F4611" w:rsidRDefault="002F05BD" w:rsidP="007F4611">
      <w:pPr>
        <w:jc w:val="center"/>
        <w:rPr>
          <w:b/>
          <w:bCs/>
        </w:rPr>
      </w:pPr>
      <w:r w:rsidRPr="007F4611">
        <w:rPr>
          <w:b/>
          <w:bCs/>
          <w:sz w:val="24"/>
          <w:szCs w:val="24"/>
        </w:rPr>
        <w:t>This assignment</w:t>
      </w:r>
      <w:r w:rsidRPr="007F4611">
        <w:rPr>
          <w:b/>
          <w:bCs/>
        </w:rPr>
        <w:t xml:space="preserve"> MUST be your own work or the work of </w:t>
      </w:r>
      <w:r w:rsidR="007F4611" w:rsidRPr="007F4611">
        <w:rPr>
          <w:b/>
          <w:bCs/>
        </w:rPr>
        <w:t xml:space="preserve">a </w:t>
      </w:r>
      <w:r w:rsidRPr="007F4611">
        <w:rPr>
          <w:b/>
          <w:bCs/>
        </w:rPr>
        <w:t>pair.</w:t>
      </w:r>
      <w:r w:rsidR="007F4611" w:rsidRPr="007F4611">
        <w:rPr>
          <w:b/>
          <w:bCs/>
        </w:rPr>
        <w:br/>
        <w:t xml:space="preserve">STAPLE this page to the front of your assignment. </w:t>
      </w:r>
      <w:r w:rsidRPr="007F4611">
        <w:rPr>
          <w:b/>
          <w:bCs/>
        </w:rPr>
        <w:t xml:space="preserve"> </w:t>
      </w:r>
    </w:p>
    <w:p w14:paraId="6E7E0C80" w14:textId="7DC71B36" w:rsidR="00E772AC" w:rsidRDefault="007F4611" w:rsidP="002F05BD">
      <w:pPr>
        <w:jc w:val="center"/>
      </w:pPr>
      <w:r>
        <w:rPr>
          <w:b/>
          <w:bCs/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BE791" wp14:editId="564F1E06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6177517" cy="4784651"/>
                <wp:effectExtent l="0" t="0" r="1397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517" cy="4784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EF80A" w14:textId="72AEA976" w:rsidR="007F4611" w:rsidRPr="00F53267" w:rsidRDefault="00F53267" w:rsidP="00F53267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53267">
                              <w:rPr>
                                <w:sz w:val="96"/>
                                <w:szCs w:val="96"/>
                              </w:rPr>
                              <w:t xml:space="preserve">Your </w:t>
                            </w:r>
                            <w:r>
                              <w:rPr>
                                <w:sz w:val="96"/>
                                <w:szCs w:val="96"/>
                              </w:rPr>
                              <w:t xml:space="preserve">(optional) </w:t>
                            </w:r>
                            <w:r w:rsidRPr="00F53267">
                              <w:rPr>
                                <w:sz w:val="96"/>
                                <w:szCs w:val="96"/>
                              </w:rPr>
                              <w:t>meme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BE7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25pt;width:486.4pt;height:376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" fillcolor="white [3201]" strokeweight=".5pt">
                <v:textbox>
                  <w:txbxContent>
                    <w:p w14:paraId="151EF80A" w14:textId="72AEA976" w:rsidR="007F4611" w:rsidRPr="00F53267" w:rsidRDefault="00F53267" w:rsidP="00F53267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53267">
                        <w:rPr>
                          <w:sz w:val="96"/>
                          <w:szCs w:val="96"/>
                        </w:rPr>
                        <w:t xml:space="preserve">Your </w:t>
                      </w:r>
                      <w:r>
                        <w:rPr>
                          <w:sz w:val="96"/>
                          <w:szCs w:val="96"/>
                        </w:rPr>
                        <w:t xml:space="preserve">(optional) </w:t>
                      </w:r>
                      <w:r w:rsidRPr="00F53267">
                        <w:rPr>
                          <w:sz w:val="96"/>
                          <w:szCs w:val="96"/>
                        </w:rPr>
                        <w:t>meme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4611">
        <w:rPr>
          <w:b/>
          <w:bCs/>
        </w:rPr>
        <w:t>Due:</w:t>
      </w:r>
      <w:r>
        <w:t xml:space="preserve"> </w:t>
      </w:r>
      <w:r w:rsidRPr="00BE166A">
        <w:rPr>
          <w:b/>
          <w:bCs/>
        </w:rPr>
        <w:t>5</w:t>
      </w:r>
      <w:r>
        <w:rPr>
          <w:b/>
          <w:bCs/>
        </w:rPr>
        <w:t>:00</w:t>
      </w:r>
      <w:r w:rsidRPr="00BE166A">
        <w:rPr>
          <w:b/>
          <w:bCs/>
        </w:rPr>
        <w:t>PM</w:t>
      </w:r>
      <w:r>
        <w:t xml:space="preserve"> </w:t>
      </w:r>
      <w:r>
        <w:rPr>
          <w:b/>
          <w:bCs/>
        </w:rPr>
        <w:t xml:space="preserve">Friday 23 September </w:t>
      </w:r>
      <w:r w:rsidR="00E772AC">
        <w:br w:type="page"/>
      </w:r>
    </w:p>
    <w:p w14:paraId="2748355E" w14:textId="0585762B" w:rsidR="004B1146" w:rsidRDefault="009D21B0" w:rsidP="004B1146">
      <w:pPr>
        <w:pStyle w:val="Heading1"/>
      </w:pPr>
      <w:r>
        <w:lastRenderedPageBreak/>
        <w:t>Q1</w:t>
      </w:r>
    </w:p>
    <w:p w14:paraId="498EB839" w14:textId="32CC51B2" w:rsidR="00AF1190" w:rsidRDefault="00942784" w:rsidP="004E655E">
      <w:r>
        <w:t>As part of an investigation about which rides are the most popular, you</w:t>
      </w:r>
      <w:r w:rsidR="004B1146">
        <w:t xml:space="preserve"> have been tasked with modelling a theme park with attractions labelled A, B, C, D, E, F and G. </w:t>
      </w:r>
      <w:r w:rsidR="00E30040">
        <w:t>The layout of the park is given on the following page</w:t>
      </w:r>
      <w:r w:rsidR="00B511A5">
        <w:t>, with the labelled circles re</w:t>
      </w:r>
      <w:r w:rsidR="0058567B">
        <w:t>presenting the rides (see part (d)</w:t>
      </w:r>
      <w:r w:rsidR="00B511A5">
        <w:t xml:space="preserve"> below), and the lines representing paths between rides</w:t>
      </w:r>
      <w:r w:rsidR="00E30040">
        <w:t xml:space="preserve">. </w:t>
      </w:r>
      <w:r w:rsidR="004B1146">
        <w:t xml:space="preserve">The behaviour of a typical park visitor is as follows: </w:t>
      </w:r>
      <w:r w:rsidR="00BD3A4F">
        <w:t xml:space="preserve">A visitor will either go on the same </w:t>
      </w:r>
      <w:r w:rsidR="00AF1190">
        <w:t>attraction</w:t>
      </w:r>
      <w:r w:rsidR="00BD3A4F">
        <w:t xml:space="preserve"> again, or they will go to a</w:t>
      </w:r>
      <w:r w:rsidR="00AF1190">
        <w:t xml:space="preserve">n attraction </w:t>
      </w:r>
      <w:r w:rsidR="00BD3A4F">
        <w:t>that is adjacent</w:t>
      </w:r>
      <w:r w:rsidR="0058567B">
        <w:t xml:space="preserve"> (connected by a path)</w:t>
      </w:r>
      <w:r w:rsidR="00BD3A4F">
        <w:t xml:space="preserve"> to the one they previously rode; chosen at random with the probability that the visitor will go to an adjacent ride with thrice the probability that they will go the same ride again. Thus, for example, </w:t>
      </w:r>
      <w:r w:rsidR="00A039F3">
        <w:t xml:space="preserve">if the visitor just went to attraction </w:t>
      </w:r>
      <w:r w:rsidR="0076141C">
        <w:t xml:space="preserve">G, the next ride would be G with a probability of 1/10, B with a probability of 3/10, D with a probability of 3/10, and F with a probability of 3/10. </w:t>
      </w:r>
    </w:p>
    <w:p w14:paraId="27492668" w14:textId="4390AEB9" w:rsidR="009363CA" w:rsidRDefault="009363CA" w:rsidP="004B1146">
      <w:pPr>
        <w:pStyle w:val="ListParagraph"/>
        <w:numPr>
          <w:ilvl w:val="1"/>
          <w:numId w:val="2"/>
        </w:numPr>
      </w:pPr>
      <w:r>
        <w:t xml:space="preserve">What is the long-term probability distribution </w:t>
      </w:r>
      <w:r w:rsidR="00AF1190">
        <w:t>for the location of the visitor? Give your answer in terms of percentages.</w:t>
      </w:r>
    </w:p>
    <w:p w14:paraId="208BC7C6" w14:textId="0913F629" w:rsidR="00AF1190" w:rsidRDefault="00AF1190" w:rsidP="004B1146">
      <w:pPr>
        <w:pStyle w:val="ListParagraph"/>
        <w:numPr>
          <w:ilvl w:val="1"/>
          <w:numId w:val="2"/>
        </w:numPr>
      </w:pPr>
      <w:r>
        <w:t>In the long term, which attraction</w:t>
      </w:r>
      <w:r w:rsidR="001E37BB">
        <w:t>(s)</w:t>
      </w:r>
      <w:r>
        <w:t xml:space="preserve"> is a visitor most likely to ride three times in a row? What is the probability for this to occur?</w:t>
      </w:r>
    </w:p>
    <w:p w14:paraId="50E932DD" w14:textId="3A7167E2" w:rsidR="00AF1190" w:rsidRDefault="00AF1190" w:rsidP="004B1146">
      <w:pPr>
        <w:pStyle w:val="ListParagraph"/>
        <w:numPr>
          <w:ilvl w:val="1"/>
          <w:numId w:val="2"/>
        </w:numPr>
      </w:pPr>
      <w:r>
        <w:t xml:space="preserve">What do you think the limitations of modelling park visitor behaviour with a </w:t>
      </w:r>
      <w:r w:rsidR="00D049E3">
        <w:t xml:space="preserve">Markov Chain are? This is an open-ended question, where you may want to consider things such as the Markov chain’s convergence speed to long-term behaviour, human behaviour, and </w:t>
      </w:r>
      <w:r w:rsidR="009D21B0">
        <w:t xml:space="preserve">the effects of a real-world park layout. </w:t>
      </w:r>
    </w:p>
    <w:p w14:paraId="2BAB2D95" w14:textId="72A3BD4E" w:rsidR="009D21B0" w:rsidRDefault="009D21B0" w:rsidP="009D21B0">
      <w:pPr>
        <w:pStyle w:val="ListParagraph"/>
        <w:numPr>
          <w:ilvl w:val="1"/>
          <w:numId w:val="2"/>
        </w:numPr>
      </w:pPr>
      <w:r>
        <w:t xml:space="preserve">(optional) </w:t>
      </w:r>
      <w:r w:rsidR="00E60101">
        <w:t>D</w:t>
      </w:r>
      <w:r>
        <w:t>raw your best guess at what each ride might look like, where the ride names are: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</w:tblGrid>
      <w:tr w:rsidR="00C53073" w14:paraId="01B409DD" w14:textId="77777777" w:rsidTr="00C53073">
        <w:trPr>
          <w:jc w:val="center"/>
        </w:trPr>
        <w:tc>
          <w:tcPr>
            <w:tcW w:w="846" w:type="dxa"/>
          </w:tcPr>
          <w:p w14:paraId="18D507E7" w14:textId="6C85F129" w:rsidR="00C53073" w:rsidRDefault="00C53073" w:rsidP="00C53073">
            <w:pPr>
              <w:jc w:val="center"/>
            </w:pPr>
            <w:r>
              <w:t>A</w:t>
            </w:r>
          </w:p>
        </w:tc>
        <w:tc>
          <w:tcPr>
            <w:tcW w:w="2693" w:type="dxa"/>
          </w:tcPr>
          <w:p w14:paraId="3F9CE96E" w14:textId="4E63DB24" w:rsidR="00C53073" w:rsidRDefault="00C53073" w:rsidP="00C53073">
            <w:pPr>
              <w:jc w:val="center"/>
            </w:pPr>
            <w:r>
              <w:t>Algebraic Abyss</w:t>
            </w:r>
          </w:p>
        </w:tc>
      </w:tr>
      <w:tr w:rsidR="00C53073" w14:paraId="64835970" w14:textId="77777777" w:rsidTr="00C53073">
        <w:trPr>
          <w:jc w:val="center"/>
        </w:trPr>
        <w:tc>
          <w:tcPr>
            <w:tcW w:w="846" w:type="dxa"/>
          </w:tcPr>
          <w:p w14:paraId="72EB2226" w14:textId="6981915A" w:rsidR="00C53073" w:rsidRDefault="00C53073" w:rsidP="00C53073">
            <w:pPr>
              <w:jc w:val="center"/>
            </w:pPr>
            <w:r>
              <w:t>B</w:t>
            </w:r>
          </w:p>
        </w:tc>
        <w:tc>
          <w:tcPr>
            <w:tcW w:w="2693" w:type="dxa"/>
          </w:tcPr>
          <w:p w14:paraId="4189F4DB" w14:textId="2D868B62" w:rsidR="00C53073" w:rsidRDefault="00C53073" w:rsidP="00C53073">
            <w:pPr>
              <w:jc w:val="center"/>
            </w:pPr>
            <w:r>
              <w:t>Boolean Bumpercars</w:t>
            </w:r>
          </w:p>
        </w:tc>
      </w:tr>
      <w:tr w:rsidR="00C53073" w14:paraId="55C973C3" w14:textId="77777777" w:rsidTr="00C53073">
        <w:trPr>
          <w:jc w:val="center"/>
        </w:trPr>
        <w:tc>
          <w:tcPr>
            <w:tcW w:w="846" w:type="dxa"/>
          </w:tcPr>
          <w:p w14:paraId="1E0AFC66" w14:textId="6ABC2942" w:rsidR="00C53073" w:rsidRDefault="00C53073" w:rsidP="00C53073">
            <w:pPr>
              <w:jc w:val="center"/>
            </w:pPr>
            <w:r>
              <w:t>C</w:t>
            </w:r>
          </w:p>
        </w:tc>
        <w:tc>
          <w:tcPr>
            <w:tcW w:w="2693" w:type="dxa"/>
          </w:tcPr>
          <w:p w14:paraId="26819F4F" w14:textId="0F78AEDE" w:rsidR="00C53073" w:rsidRDefault="00C53073" w:rsidP="00C53073">
            <w:pPr>
              <w:jc w:val="center"/>
            </w:pPr>
            <w:r>
              <w:t>Covariance Cove</w:t>
            </w:r>
          </w:p>
        </w:tc>
      </w:tr>
      <w:tr w:rsidR="00C53073" w14:paraId="22033DE8" w14:textId="77777777" w:rsidTr="00C53073">
        <w:trPr>
          <w:jc w:val="center"/>
        </w:trPr>
        <w:tc>
          <w:tcPr>
            <w:tcW w:w="846" w:type="dxa"/>
          </w:tcPr>
          <w:p w14:paraId="2C6AE66B" w14:textId="4F87C043" w:rsidR="00C53073" w:rsidRDefault="00C53073" w:rsidP="00C53073">
            <w:pPr>
              <w:jc w:val="center"/>
            </w:pPr>
            <w:r>
              <w:t>D</w:t>
            </w:r>
          </w:p>
        </w:tc>
        <w:tc>
          <w:tcPr>
            <w:tcW w:w="2693" w:type="dxa"/>
          </w:tcPr>
          <w:p w14:paraId="1C1663E6" w14:textId="447A770A" w:rsidR="00C53073" w:rsidRDefault="00C53073" w:rsidP="00C53073">
            <w:pPr>
              <w:jc w:val="center"/>
            </w:pPr>
            <w:r>
              <w:t>Derivative Drop</w:t>
            </w:r>
          </w:p>
        </w:tc>
      </w:tr>
      <w:tr w:rsidR="00C53073" w14:paraId="2A4FB143" w14:textId="77777777" w:rsidTr="00C53073">
        <w:trPr>
          <w:jc w:val="center"/>
        </w:trPr>
        <w:tc>
          <w:tcPr>
            <w:tcW w:w="846" w:type="dxa"/>
          </w:tcPr>
          <w:p w14:paraId="716AAE77" w14:textId="25E7AAC6" w:rsidR="00C53073" w:rsidRDefault="00C53073" w:rsidP="00C53073">
            <w:pPr>
              <w:jc w:val="center"/>
            </w:pPr>
            <w:r>
              <w:t>E</w:t>
            </w:r>
          </w:p>
        </w:tc>
        <w:tc>
          <w:tcPr>
            <w:tcW w:w="2693" w:type="dxa"/>
          </w:tcPr>
          <w:p w14:paraId="24B40C7C" w14:textId="403FC785" w:rsidR="00C53073" w:rsidRDefault="00C53073" w:rsidP="00C53073">
            <w:pPr>
              <w:jc w:val="center"/>
            </w:pPr>
            <w:r>
              <w:t>Exponential Enterprise</w:t>
            </w:r>
          </w:p>
        </w:tc>
      </w:tr>
      <w:tr w:rsidR="00C53073" w14:paraId="756364AF" w14:textId="77777777" w:rsidTr="00C53073">
        <w:trPr>
          <w:jc w:val="center"/>
        </w:trPr>
        <w:tc>
          <w:tcPr>
            <w:tcW w:w="846" w:type="dxa"/>
          </w:tcPr>
          <w:p w14:paraId="4E50245E" w14:textId="438F3F01" w:rsidR="00C53073" w:rsidRDefault="00C53073" w:rsidP="00C53073">
            <w:pPr>
              <w:jc w:val="center"/>
            </w:pPr>
            <w:r>
              <w:t>F</w:t>
            </w:r>
          </w:p>
        </w:tc>
        <w:tc>
          <w:tcPr>
            <w:tcW w:w="2693" w:type="dxa"/>
          </w:tcPr>
          <w:p w14:paraId="738FF97F" w14:textId="47EEBE6A" w:rsidR="00C53073" w:rsidRDefault="00C53073" w:rsidP="00C53073">
            <w:pPr>
              <w:jc w:val="center"/>
            </w:pPr>
            <w:r>
              <w:t>Fourier Flumes</w:t>
            </w:r>
          </w:p>
        </w:tc>
      </w:tr>
      <w:tr w:rsidR="00C53073" w14:paraId="5D3C473E" w14:textId="77777777" w:rsidTr="00C53073">
        <w:trPr>
          <w:jc w:val="center"/>
        </w:trPr>
        <w:tc>
          <w:tcPr>
            <w:tcW w:w="846" w:type="dxa"/>
          </w:tcPr>
          <w:p w14:paraId="011A8EFB" w14:textId="6970D15E" w:rsidR="00C53073" w:rsidRDefault="00C53073" w:rsidP="00C53073">
            <w:pPr>
              <w:jc w:val="center"/>
            </w:pPr>
            <w:r>
              <w:t>G</w:t>
            </w:r>
          </w:p>
        </w:tc>
        <w:tc>
          <w:tcPr>
            <w:tcW w:w="2693" w:type="dxa"/>
          </w:tcPr>
          <w:p w14:paraId="72EBDAF8" w14:textId="55D63DBD" w:rsidR="00C53073" w:rsidRDefault="00C53073" w:rsidP="00C53073">
            <w:pPr>
              <w:jc w:val="center"/>
            </w:pPr>
            <w:r>
              <w:t>Gaussian Gauntlet</w:t>
            </w:r>
          </w:p>
        </w:tc>
      </w:tr>
    </w:tbl>
    <w:p w14:paraId="6091B783" w14:textId="3C2826E1" w:rsidR="00F5619C" w:rsidRDefault="00F5619C" w:rsidP="00C53073"/>
    <w:p w14:paraId="6B684CD8" w14:textId="77777777" w:rsidR="00F5619C" w:rsidRDefault="00F5619C">
      <w:pPr>
        <w:jc w:val="left"/>
      </w:pPr>
      <w:r>
        <w:br w:type="page"/>
      </w:r>
    </w:p>
    <w:p w14:paraId="30452902" w14:textId="4ED1D265" w:rsidR="00F5619C" w:rsidRDefault="00CF39F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240" behindDoc="1" locked="0" layoutInCell="1" allowOverlap="1" wp14:anchorId="127F9EBD" wp14:editId="629D9AE6">
            <wp:simplePos x="0" y="0"/>
            <wp:positionH relativeFrom="margin">
              <wp:align>center</wp:align>
            </wp:positionH>
            <wp:positionV relativeFrom="paragraph">
              <wp:posOffset>774700</wp:posOffset>
            </wp:positionV>
            <wp:extent cx="10322175" cy="72993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322175" cy="72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19C">
        <w:br w:type="page"/>
      </w:r>
    </w:p>
    <w:p w14:paraId="1B95C0A4" w14:textId="72A7F3E9" w:rsidR="009D21B0" w:rsidRDefault="009D21B0" w:rsidP="009D21B0">
      <w:pPr>
        <w:pStyle w:val="Heading1"/>
      </w:pPr>
      <w:r>
        <w:lastRenderedPageBreak/>
        <w:t>Q2</w:t>
      </w:r>
    </w:p>
    <w:p w14:paraId="38250FAB" w14:textId="49F7182C" w:rsidR="009D21B0" w:rsidRDefault="009D21B0" w:rsidP="009D21B0">
      <w:r>
        <w:t xml:space="preserve">You have been tasked with modelling </w:t>
      </w:r>
      <w:r w:rsidR="00287DC2">
        <w:t xml:space="preserve">a </w:t>
      </w:r>
      <w:r w:rsidR="00E13D9B">
        <w:t>hypothetical</w:t>
      </w:r>
      <w:r w:rsidR="00287DC2">
        <w:t xml:space="preserve"> mosquito outbreak</w:t>
      </w:r>
      <w:r>
        <w:t xml:space="preserve"> in the theme park. </w:t>
      </w:r>
      <w:r w:rsidR="00287DC2">
        <w:t xml:space="preserve">Based on (possibly </w:t>
      </w:r>
      <w:r w:rsidR="0057569E">
        <w:t>fictional</w:t>
      </w:r>
      <w:r w:rsidR="00287DC2">
        <w:t xml:space="preserve">) research done on </w:t>
      </w:r>
      <w:r w:rsidR="0057569E">
        <w:t>“</w:t>
      </w:r>
      <w:r w:rsidR="00287DC2">
        <w:t>mosquito outbreaks in maths-themed theme parks</w:t>
      </w:r>
      <w:r w:rsidR="0057569E">
        <w:t>”</w:t>
      </w:r>
      <w:r w:rsidR="00287DC2">
        <w:t xml:space="preserve">, </w:t>
      </w:r>
      <w:r w:rsidR="0057569E">
        <w:t xml:space="preserve">the </w:t>
      </w:r>
      <w:r w:rsidR="00D207E9">
        <w:t xml:space="preserve">mosquitos </w:t>
      </w:r>
      <w:r w:rsidR="0057569E">
        <w:t xml:space="preserve">would have </w:t>
      </w:r>
      <w:r w:rsidR="00D207E9">
        <w:t>the following population parameters: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842"/>
        <w:gridCol w:w="1418"/>
        <w:gridCol w:w="1701"/>
      </w:tblGrid>
      <w:tr w:rsidR="002E609C" w14:paraId="0A1AA4AD" w14:textId="77777777" w:rsidTr="00CB1A35">
        <w:trPr>
          <w:jc w:val="center"/>
        </w:trPr>
        <w:tc>
          <w:tcPr>
            <w:tcW w:w="1560" w:type="dxa"/>
            <w:tcBorders>
              <w:bottom w:val="single" w:sz="4" w:space="0" w:color="auto"/>
            </w:tcBorders>
          </w:tcPr>
          <w:p w14:paraId="6D79ACF4" w14:textId="39FAC930" w:rsidR="002E609C" w:rsidRPr="00D207E9" w:rsidRDefault="002E609C" w:rsidP="00D207E9">
            <w:pPr>
              <w:jc w:val="center"/>
              <w:rPr>
                <w:b/>
                <w:bCs/>
              </w:rPr>
            </w:pPr>
            <w:r w:rsidRPr="00D207E9">
              <w:rPr>
                <w:b/>
                <w:bCs/>
              </w:rPr>
              <w:t>Vector entry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33C7B67" w14:textId="0B0C2F27" w:rsidR="002E609C" w:rsidRPr="00D207E9" w:rsidRDefault="002E609C" w:rsidP="00D207E9">
            <w:pPr>
              <w:jc w:val="center"/>
              <w:rPr>
                <w:b/>
                <w:bCs/>
              </w:rPr>
            </w:pPr>
            <w:r w:rsidRPr="00D207E9">
              <w:rPr>
                <w:b/>
                <w:bCs/>
              </w:rPr>
              <w:t>Age (days)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2570A18" w14:textId="77BB434F" w:rsidR="002E609C" w:rsidRPr="00D207E9" w:rsidRDefault="002E609C" w:rsidP="00D207E9">
            <w:pPr>
              <w:jc w:val="center"/>
              <w:rPr>
                <w:b/>
                <w:bCs/>
              </w:rPr>
            </w:pPr>
            <w:r w:rsidRPr="00D207E9">
              <w:rPr>
                <w:b/>
                <w:bCs/>
              </w:rPr>
              <w:t>Birth Rate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2AEEE0" w14:textId="2667DF1F" w:rsidR="002E609C" w:rsidRPr="00D207E9" w:rsidRDefault="002E609C" w:rsidP="00D207E9">
            <w:pPr>
              <w:jc w:val="center"/>
              <w:rPr>
                <w:b/>
                <w:bCs/>
              </w:rPr>
            </w:pPr>
            <w:r w:rsidRPr="00D207E9">
              <w:rPr>
                <w:b/>
                <w:bCs/>
              </w:rPr>
              <w:t>Survival Rate</w:t>
            </w:r>
          </w:p>
        </w:tc>
      </w:tr>
      <w:tr w:rsidR="002E609C" w14:paraId="56A11545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115EE9D" w14:textId="7FFC699F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3B2C3526" w14:textId="6FECF8E9" w:rsidR="002E609C" w:rsidRDefault="002E609C" w:rsidP="00D207E9">
            <w:pPr>
              <w:jc w:val="center"/>
            </w:pPr>
            <w:r>
              <w:t>0-5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9FFD2C8" w14:textId="7C7AC7C3" w:rsidR="002E609C" w:rsidRDefault="002E609C" w:rsidP="00D207E9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64600FF" w14:textId="4B5C2121" w:rsidR="002E609C" w:rsidRDefault="002E609C" w:rsidP="00D207E9">
            <w:pPr>
              <w:jc w:val="center"/>
            </w:pPr>
            <w:r>
              <w:t>0.</w:t>
            </w:r>
            <w:r w:rsidR="00DC0721">
              <w:t>1</w:t>
            </w:r>
            <w:r>
              <w:t>5</w:t>
            </w:r>
          </w:p>
        </w:tc>
      </w:tr>
      <w:tr w:rsidR="002E609C" w14:paraId="0BEC8FCB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EDD2FB7" w14:textId="19D7035F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CB9E1B6" w14:textId="716FF37E" w:rsidR="002E609C" w:rsidRDefault="002E609C" w:rsidP="00D207E9">
            <w:pPr>
              <w:jc w:val="center"/>
            </w:pPr>
            <w:r>
              <w:t>5-10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21507AB" w14:textId="0D4E85B2" w:rsidR="002E609C" w:rsidRDefault="002E609C" w:rsidP="00D207E9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BD3EB08" w14:textId="61F43025" w:rsidR="002E609C" w:rsidRDefault="002E609C" w:rsidP="00D207E9">
            <w:pPr>
              <w:jc w:val="center"/>
            </w:pPr>
            <w:r>
              <w:t>0.</w:t>
            </w:r>
            <w:r w:rsidR="00DC0721">
              <w:t>3</w:t>
            </w:r>
            <w:r>
              <w:t>0</w:t>
            </w:r>
          </w:p>
        </w:tc>
      </w:tr>
      <w:tr w:rsidR="002E609C" w14:paraId="27174592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62046544" w14:textId="36AC1306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D5508EF" w14:textId="367C84EE" w:rsidR="002E609C" w:rsidRDefault="002E609C" w:rsidP="00D207E9">
            <w:pPr>
              <w:jc w:val="center"/>
            </w:pPr>
            <w:r>
              <w:t>10-15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244766B" w14:textId="186BA8E7" w:rsidR="002E609C" w:rsidRDefault="002E609C" w:rsidP="00D207E9">
            <w:pPr>
              <w:jc w:val="center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7FA62F" w14:textId="2EBF7C5E" w:rsidR="002E609C" w:rsidRDefault="002E609C" w:rsidP="00D207E9">
            <w:pPr>
              <w:jc w:val="center"/>
            </w:pPr>
            <w:r>
              <w:t>0.</w:t>
            </w:r>
            <w:r w:rsidR="00DC0721">
              <w:t>5</w:t>
            </w:r>
            <w:r>
              <w:t>0</w:t>
            </w:r>
          </w:p>
        </w:tc>
      </w:tr>
      <w:tr w:rsidR="002E609C" w14:paraId="147280B2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0BDCA1A" w14:textId="1CB427BE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42D4CC7A" w14:textId="5DADD47E" w:rsidR="002E609C" w:rsidRDefault="002E609C" w:rsidP="00D207E9">
            <w:pPr>
              <w:jc w:val="center"/>
            </w:pPr>
            <w:r>
              <w:t>15-20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8B5475F" w14:textId="65AA35D0" w:rsidR="002E609C" w:rsidRDefault="002E609C" w:rsidP="00D207E9">
            <w:pPr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800CA8" w14:textId="0A8228C6" w:rsidR="002E609C" w:rsidRDefault="002E609C" w:rsidP="00D207E9">
            <w:pPr>
              <w:jc w:val="center"/>
            </w:pPr>
            <w:r>
              <w:t>0.</w:t>
            </w:r>
            <w:r w:rsidR="00DC0721">
              <w:t>4</w:t>
            </w:r>
            <w:r>
              <w:t>0</w:t>
            </w:r>
          </w:p>
        </w:tc>
      </w:tr>
      <w:tr w:rsidR="002E609C" w14:paraId="58ED949E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46EBD0FC" w14:textId="3AC63C10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7BFE337" w14:textId="3BFF299A" w:rsidR="002E609C" w:rsidRDefault="002E609C" w:rsidP="00D207E9">
            <w:pPr>
              <w:jc w:val="center"/>
            </w:pPr>
            <w:r>
              <w:t>20-25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77C7172" w14:textId="21EBBE72" w:rsidR="002E609C" w:rsidRDefault="002E609C" w:rsidP="00D207E9">
            <w:pPr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1912A8" w14:textId="5031CE2A" w:rsidR="002E609C" w:rsidRDefault="002E609C" w:rsidP="00D207E9">
            <w:pPr>
              <w:jc w:val="center"/>
            </w:pPr>
            <w:r>
              <w:t>0.</w:t>
            </w:r>
            <w:r w:rsidR="00DC0721">
              <w:t>25</w:t>
            </w:r>
          </w:p>
        </w:tc>
      </w:tr>
      <w:tr w:rsidR="002E609C" w14:paraId="0E5B5E36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79F88450" w14:textId="736E8034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2D6B4638" w14:textId="46AF0AC6" w:rsidR="002E609C" w:rsidRDefault="002E609C" w:rsidP="00D207E9">
            <w:pPr>
              <w:jc w:val="center"/>
            </w:pPr>
            <w:r>
              <w:t>25-30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7719D80" w14:textId="35A0AB77" w:rsidR="002E609C" w:rsidRDefault="002E609C" w:rsidP="00D207E9">
            <w:pPr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CB3F218" w14:textId="5FFF442D" w:rsidR="002E609C" w:rsidRDefault="002E609C" w:rsidP="00D207E9">
            <w:pPr>
              <w:jc w:val="center"/>
            </w:pPr>
            <w:r>
              <w:t>0.</w:t>
            </w:r>
            <w:r w:rsidR="00DC0721">
              <w:t>25</w:t>
            </w:r>
          </w:p>
        </w:tc>
      </w:tr>
      <w:tr w:rsidR="002E609C" w14:paraId="6E5AEA8F" w14:textId="77777777" w:rsidTr="00CB1A35">
        <w:trPr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5F3612F0" w14:textId="3DA0EDDD" w:rsidR="002E609C" w:rsidRDefault="00000000" w:rsidP="00D207E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239E8C6" w14:textId="6A88E4F1" w:rsidR="002E609C" w:rsidRDefault="002E609C" w:rsidP="00D207E9">
            <w:pPr>
              <w:jc w:val="center"/>
            </w:pPr>
            <w:r>
              <w:t>30-35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2A3E5BE" w14:textId="3424953D" w:rsidR="002E609C" w:rsidRDefault="002E609C" w:rsidP="00D207E9">
            <w:pPr>
              <w:jc w:val="center"/>
            </w:pPr>
            <w: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4B1A6DB" w14:textId="23BE504E" w:rsidR="002E609C" w:rsidRDefault="002E609C" w:rsidP="00D207E9">
            <w:pPr>
              <w:jc w:val="center"/>
            </w:pPr>
          </w:p>
        </w:tc>
      </w:tr>
    </w:tbl>
    <w:p w14:paraId="5EAAEFB1" w14:textId="5BDFB2D4" w:rsidR="00623298" w:rsidRDefault="00623298" w:rsidP="00623298"/>
    <w:p w14:paraId="686C851E" w14:textId="2C8BFA25" w:rsidR="00B94CAB" w:rsidRDefault="007420D7" w:rsidP="00623298">
      <w:r>
        <w:t>T</w:t>
      </w:r>
      <w:r w:rsidR="00B94CAB">
        <w:t xml:space="preserve">hese age groups </w:t>
      </w:r>
      <w:r>
        <w:t xml:space="preserve">correspond to specific </w:t>
      </w:r>
      <w:r w:rsidR="00B94CAB">
        <w:t xml:space="preserve">stages of a mosquito’s life,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94CAB">
        <w:t xml:space="preserve"> are eggs,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94CAB">
        <w:t xml:space="preserve"> are </w:t>
      </w:r>
      <w:r w:rsidR="00DD274E">
        <w:t>larvae</w:t>
      </w:r>
      <w:r w:rsidR="00C1139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7C19">
        <w:t xml:space="preserve"> are pupae,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4-7</m:t>
            </m:r>
          </m:sub>
        </m:sSub>
      </m:oMath>
      <w:r w:rsidR="00E07C19">
        <w:t xml:space="preserve"> are adults. </w:t>
      </w:r>
    </w:p>
    <w:p w14:paraId="3626EEA1" w14:textId="76D18367" w:rsidR="004E655E" w:rsidRDefault="009F793C" w:rsidP="004E655E">
      <w:pPr>
        <w:pStyle w:val="ListParagraph"/>
        <w:numPr>
          <w:ilvl w:val="1"/>
          <w:numId w:val="4"/>
        </w:numPr>
      </w:pPr>
      <w:r>
        <w:t>Apply the Leslie Model to the mosquito</w:t>
      </w:r>
      <w:r w:rsidR="00FD03DB">
        <w:t xml:space="preserve"> population</w:t>
      </w:r>
      <w:r>
        <w:t xml:space="preserve"> and model </w:t>
      </w:r>
      <w:r w:rsidR="00FD03DB">
        <w:t xml:space="preserve">50 iterations (250 days) </w:t>
      </w:r>
      <w:r w:rsidR="00E848C1">
        <w:t>of population growth</w:t>
      </w:r>
      <w:r w:rsidR="00BF6477">
        <w:t xml:space="preserve">, starting with a population of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0, 0, 0, 10, 0, 0, 0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C2440">
        <w:t>.</w:t>
      </w:r>
      <w:r w:rsidR="004E1298">
        <w:t xml:space="preserve"> Plot the </w:t>
      </w:r>
      <w:r w:rsidR="00266692">
        <w:t>mosquito populations for each iteration as stacked bar charts</w:t>
      </w:r>
      <w:r w:rsidR="00332982">
        <w:t xml:space="preserve">. (You may find the following links helpful for plotting stacked bar charts in </w:t>
      </w:r>
      <w:hyperlink r:id="rId6" w:history="1">
        <w:r w:rsidR="00332982" w:rsidRPr="00332982">
          <w:rPr>
            <w:rStyle w:val="Hyperlink"/>
          </w:rPr>
          <w:t>Python</w:t>
        </w:r>
      </w:hyperlink>
      <w:r w:rsidR="00332982">
        <w:t xml:space="preserve"> or </w:t>
      </w:r>
      <w:hyperlink r:id="rId7" w:history="1">
        <w:r w:rsidR="00332982" w:rsidRPr="000C33B6">
          <w:rPr>
            <w:rStyle w:val="Hyperlink"/>
          </w:rPr>
          <w:t>Matlab</w:t>
        </w:r>
      </w:hyperlink>
      <w:r w:rsidR="000C33B6">
        <w:t>.)</w:t>
      </w:r>
    </w:p>
    <w:p w14:paraId="0A3BC6EA" w14:textId="518C7A16" w:rsidR="000C33B6" w:rsidRDefault="000C2A25" w:rsidP="004E655E">
      <w:pPr>
        <w:pStyle w:val="ListParagraph"/>
        <w:numPr>
          <w:ilvl w:val="1"/>
          <w:numId w:val="4"/>
        </w:numPr>
      </w:pPr>
      <w:r>
        <w:t>Comment on whether</w:t>
      </w:r>
      <w:r w:rsidR="00816395">
        <w:t xml:space="preserve"> you think that</w:t>
      </w:r>
      <w:r>
        <w:t xml:space="preserve"> the mosquito population distribution has approached the </w:t>
      </w:r>
      <w:r w:rsidR="00EC2C26">
        <w:t xml:space="preserve">theoretical </w:t>
      </w:r>
      <w:r>
        <w:t>long-term distribution</w:t>
      </w:r>
      <w:r w:rsidRPr="000C2A25">
        <w:t xml:space="preserve"> </w:t>
      </w:r>
      <w:r>
        <w:t>after the 50 iterations of population growth in (a).</w:t>
      </w:r>
      <w:r w:rsidR="00816395">
        <w:t xml:space="preserve"> </w:t>
      </w:r>
      <w:r w:rsidR="00FB25C4">
        <w:t>Clearly ex</w:t>
      </w:r>
      <w:r w:rsidR="00816395">
        <w:t>plain your answer.</w:t>
      </w:r>
    </w:p>
    <w:p w14:paraId="3E527878" w14:textId="12A05082" w:rsidR="00816395" w:rsidRDefault="00744893" w:rsidP="004E655E">
      <w:pPr>
        <w:pStyle w:val="ListParagraph"/>
        <w:numPr>
          <w:ilvl w:val="1"/>
          <w:numId w:val="4"/>
        </w:numPr>
      </w:pPr>
      <w:r>
        <w:t xml:space="preserve">One of the potential options for </w:t>
      </w:r>
      <w:r w:rsidR="00E13D9B">
        <w:t xml:space="preserve">preventing an outbreak is to </w:t>
      </w:r>
      <w:r w:rsidR="002C651D">
        <w:t xml:space="preserve">effectively lower the birth rate of </w:t>
      </w:r>
      <w:r w:rsidR="008A5B50">
        <w:t xml:space="preserve">eggs by culling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A5B50">
        <w:t xml:space="preserve">. </w:t>
      </w:r>
      <w:r w:rsidR="00EA6A9D">
        <w:t xml:space="preserve">Determine the </w:t>
      </w:r>
      <w:r w:rsidR="00482EBA">
        <w:t xml:space="preserve">“harvest” rate required for </w:t>
      </w:r>
      <w:r w:rsidR="00A055FB">
        <w:t xml:space="preserve">stopping population growth while </w:t>
      </w:r>
      <w:r w:rsidR="00482EBA">
        <w:t xml:space="preserve">only culling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055FB">
        <w:t>.</w:t>
      </w:r>
      <w:r w:rsidR="00482EBA">
        <w:t xml:space="preserve"> </w:t>
      </w:r>
      <w:r w:rsidR="00A055FB">
        <w:t>C</w:t>
      </w:r>
      <w:r w:rsidR="00586B97">
        <w:t xml:space="preserve">onfirm this answer by </w:t>
      </w:r>
      <w:r w:rsidR="00A055FB">
        <w:t xml:space="preserve">finding the </w:t>
      </w:r>
      <w:r w:rsidR="005F5A8C">
        <w:t xml:space="preserve">dominant eigenvalue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05E46">
        <w:t>, the Leslie matrix with effective birth rates.</w:t>
      </w:r>
      <w:r w:rsidR="00482F64">
        <w:t xml:space="preserve"> (</w:t>
      </w:r>
      <w:r w:rsidR="002F1CDA">
        <w:t xml:space="preserve">You may find </w:t>
      </w:r>
      <w:r w:rsidR="00482F64">
        <w:t>p</w:t>
      </w:r>
      <w:r w:rsidR="002F1CDA">
        <w:t>g.</w:t>
      </w:r>
      <w:r w:rsidR="00482F64">
        <w:t xml:space="preserve"> 262-2</w:t>
      </w:r>
      <w:r w:rsidR="002F1CDA">
        <w:t>67 of Week 5 notes helpful</w:t>
      </w:r>
      <w:r w:rsidR="00482F64">
        <w:t>)</w:t>
      </w:r>
    </w:p>
    <w:p w14:paraId="2B3D4BE4" w14:textId="02C7487C" w:rsidR="00B94CAB" w:rsidRDefault="00B94CAB" w:rsidP="00B94CAB"/>
    <w:p w14:paraId="32346C7A" w14:textId="77777777" w:rsidR="00B22F15" w:rsidRDefault="00B22F15" w:rsidP="00B94CAB"/>
    <w:p w14:paraId="6DDAD722" w14:textId="446FF5E5" w:rsidR="00623298" w:rsidRDefault="00623298" w:rsidP="00623298">
      <w:pPr>
        <w:pStyle w:val="Heading1"/>
      </w:pPr>
      <w:r>
        <w:t>Q3</w:t>
      </w:r>
    </w:p>
    <w:p w14:paraId="16392EA8" w14:textId="3BCF8D51" w:rsidR="004F1F07" w:rsidRDefault="00C208F8" w:rsidP="004F1F07">
      <w:r>
        <w:t>Let</w:t>
      </w:r>
    </w:p>
    <w:p w14:paraId="246D4387" w14:textId="51302E51" w:rsidR="00C208F8" w:rsidRPr="00141BBC" w:rsidRDefault="00C208F8" w:rsidP="004F1F07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C87F6D3" w14:textId="71F48F3D" w:rsidR="00141BBC" w:rsidRPr="006D7B1A" w:rsidRDefault="00141BBC" w:rsidP="006D7B1A">
      <w:pPr>
        <w:pStyle w:val="ListParagraph"/>
        <w:ind w:left="360"/>
      </w:pPr>
    </w:p>
    <w:p w14:paraId="6677B296" w14:textId="12A587B5" w:rsidR="006D7B1A" w:rsidRPr="008727ED" w:rsidRDefault="006F6523" w:rsidP="006D7B1A">
      <w:pPr>
        <w:pStyle w:val="ListParagraph"/>
        <w:numPr>
          <w:ilvl w:val="1"/>
          <w:numId w:val="5"/>
        </w:numPr>
      </w:pPr>
      <w:r>
        <w:t>Use Gershgorin’s Theorem to locate the eigenvalues of A</w:t>
      </w:r>
      <w:r w:rsidR="001E490D">
        <w:t>.</w:t>
      </w:r>
    </w:p>
    <w:p w14:paraId="5B19A3CA" w14:textId="7E9978D3" w:rsidR="008727ED" w:rsidRPr="006D7B1A" w:rsidRDefault="001E490D" w:rsidP="006D7B1A">
      <w:pPr>
        <w:pStyle w:val="ListParagraph"/>
        <w:numPr>
          <w:ilvl w:val="1"/>
          <w:numId w:val="5"/>
        </w:numPr>
      </w:pPr>
      <w:r>
        <w:t xml:space="preserve">Use the inverse power method to compute </w:t>
      </w:r>
      <w:r>
        <w:rPr>
          <w:i/>
          <w:iCs/>
        </w:rPr>
        <w:t>all</w:t>
      </w:r>
      <w:r>
        <w:t xml:space="preserve"> the eigenvalues (use a tolerance of 0.01).</w:t>
      </w:r>
      <w:r w:rsidR="00BE12BE">
        <w:t xml:space="preserve"> </w:t>
      </w:r>
      <w:r w:rsidR="0058567B">
        <w:t>Your code should be written to run efficiently even if A was very large (e.g. 1000</w:t>
      </w:r>
      <w:r w:rsidR="0058567B" w:rsidRPr="0058567B">
        <w:t>×1000)</w:t>
      </w:r>
      <w:r w:rsidR="0058567B">
        <w:t>.</w:t>
      </w:r>
    </w:p>
    <w:sectPr w:rsidR="008727ED" w:rsidRPr="006D7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B61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F113E1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7CF5D78"/>
    <w:multiLevelType w:val="hybridMultilevel"/>
    <w:tmpl w:val="1772B6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D0D9A"/>
    <w:multiLevelType w:val="hybridMultilevel"/>
    <w:tmpl w:val="9664EADE"/>
    <w:lvl w:ilvl="0" w:tplc="1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F054B53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6F014F"/>
    <w:multiLevelType w:val="hybridMultilevel"/>
    <w:tmpl w:val="EAEC0AE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77666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5193850">
    <w:abstractNumId w:val="5"/>
  </w:num>
  <w:num w:numId="2" w16cid:durableId="1374118654">
    <w:abstractNumId w:val="0"/>
  </w:num>
  <w:num w:numId="3" w16cid:durableId="1401060469">
    <w:abstractNumId w:val="6"/>
  </w:num>
  <w:num w:numId="4" w16cid:durableId="538664276">
    <w:abstractNumId w:val="1"/>
  </w:num>
  <w:num w:numId="5" w16cid:durableId="1375807904">
    <w:abstractNumId w:val="4"/>
  </w:num>
  <w:num w:numId="6" w16cid:durableId="240523632">
    <w:abstractNumId w:val="3"/>
  </w:num>
  <w:num w:numId="7" w16cid:durableId="167807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4B1146"/>
    <w:rsid w:val="00030B40"/>
    <w:rsid w:val="000C2A25"/>
    <w:rsid w:val="000C33B6"/>
    <w:rsid w:val="000F07C7"/>
    <w:rsid w:val="00141BBC"/>
    <w:rsid w:val="001E37BB"/>
    <w:rsid w:val="001E490D"/>
    <w:rsid w:val="001E56D8"/>
    <w:rsid w:val="00223141"/>
    <w:rsid w:val="0023750B"/>
    <w:rsid w:val="00266692"/>
    <w:rsid w:val="00287DC2"/>
    <w:rsid w:val="002C0A50"/>
    <w:rsid w:val="002C651D"/>
    <w:rsid w:val="002E609C"/>
    <w:rsid w:val="002E637E"/>
    <w:rsid w:val="002F05BD"/>
    <w:rsid w:val="002F1CDA"/>
    <w:rsid w:val="00332982"/>
    <w:rsid w:val="003658DB"/>
    <w:rsid w:val="00377B4D"/>
    <w:rsid w:val="00380597"/>
    <w:rsid w:val="003A28C4"/>
    <w:rsid w:val="003F6165"/>
    <w:rsid w:val="00473E76"/>
    <w:rsid w:val="00482EBA"/>
    <w:rsid w:val="00482F64"/>
    <w:rsid w:val="004B1146"/>
    <w:rsid w:val="004D2212"/>
    <w:rsid w:val="004E1298"/>
    <w:rsid w:val="004E655E"/>
    <w:rsid w:val="004F1F07"/>
    <w:rsid w:val="004F6581"/>
    <w:rsid w:val="005049E2"/>
    <w:rsid w:val="00526603"/>
    <w:rsid w:val="00527B7D"/>
    <w:rsid w:val="00571893"/>
    <w:rsid w:val="0057569E"/>
    <w:rsid w:val="0058567B"/>
    <w:rsid w:val="00586B97"/>
    <w:rsid w:val="005F5A8C"/>
    <w:rsid w:val="00617CB9"/>
    <w:rsid w:val="00623298"/>
    <w:rsid w:val="006629C1"/>
    <w:rsid w:val="00683D6B"/>
    <w:rsid w:val="00684EAA"/>
    <w:rsid w:val="006D7B1A"/>
    <w:rsid w:val="006F6523"/>
    <w:rsid w:val="0070041D"/>
    <w:rsid w:val="007116BA"/>
    <w:rsid w:val="00733210"/>
    <w:rsid w:val="007420D7"/>
    <w:rsid w:val="00744893"/>
    <w:rsid w:val="00744BF8"/>
    <w:rsid w:val="0076141C"/>
    <w:rsid w:val="00762121"/>
    <w:rsid w:val="00797054"/>
    <w:rsid w:val="007A2A1F"/>
    <w:rsid w:val="007C6461"/>
    <w:rsid w:val="007F4611"/>
    <w:rsid w:val="007F5DEF"/>
    <w:rsid w:val="00816395"/>
    <w:rsid w:val="0084746B"/>
    <w:rsid w:val="0085686A"/>
    <w:rsid w:val="00870597"/>
    <w:rsid w:val="008727ED"/>
    <w:rsid w:val="008969B2"/>
    <w:rsid w:val="008A5B50"/>
    <w:rsid w:val="008B1CC3"/>
    <w:rsid w:val="009363CA"/>
    <w:rsid w:val="00942784"/>
    <w:rsid w:val="00956091"/>
    <w:rsid w:val="009A1F5B"/>
    <w:rsid w:val="009A6779"/>
    <w:rsid w:val="009B7B86"/>
    <w:rsid w:val="009D21B0"/>
    <w:rsid w:val="009D6E38"/>
    <w:rsid w:val="009F793C"/>
    <w:rsid w:val="00A039F3"/>
    <w:rsid w:val="00A0459F"/>
    <w:rsid w:val="00A055FB"/>
    <w:rsid w:val="00A33C6A"/>
    <w:rsid w:val="00A36440"/>
    <w:rsid w:val="00AC2440"/>
    <w:rsid w:val="00AF1190"/>
    <w:rsid w:val="00B05E46"/>
    <w:rsid w:val="00B22F15"/>
    <w:rsid w:val="00B511A5"/>
    <w:rsid w:val="00B720FA"/>
    <w:rsid w:val="00B7773C"/>
    <w:rsid w:val="00B932C7"/>
    <w:rsid w:val="00B94CAB"/>
    <w:rsid w:val="00BB0AB8"/>
    <w:rsid w:val="00BC419D"/>
    <w:rsid w:val="00BD3A4F"/>
    <w:rsid w:val="00BE12BE"/>
    <w:rsid w:val="00BE166A"/>
    <w:rsid w:val="00BF2ED8"/>
    <w:rsid w:val="00BF6477"/>
    <w:rsid w:val="00C0001C"/>
    <w:rsid w:val="00C1139A"/>
    <w:rsid w:val="00C208F8"/>
    <w:rsid w:val="00C53073"/>
    <w:rsid w:val="00C70028"/>
    <w:rsid w:val="00CB1A35"/>
    <w:rsid w:val="00CC3CE1"/>
    <w:rsid w:val="00CF39F5"/>
    <w:rsid w:val="00D049E3"/>
    <w:rsid w:val="00D207E9"/>
    <w:rsid w:val="00D419AC"/>
    <w:rsid w:val="00D92E32"/>
    <w:rsid w:val="00DC0721"/>
    <w:rsid w:val="00DD274E"/>
    <w:rsid w:val="00DE5B8A"/>
    <w:rsid w:val="00E07C19"/>
    <w:rsid w:val="00E13D9B"/>
    <w:rsid w:val="00E30040"/>
    <w:rsid w:val="00E60101"/>
    <w:rsid w:val="00E76AD0"/>
    <w:rsid w:val="00E772AC"/>
    <w:rsid w:val="00E815BF"/>
    <w:rsid w:val="00E848C1"/>
    <w:rsid w:val="00EA3EB2"/>
    <w:rsid w:val="00EA6A9D"/>
    <w:rsid w:val="00EC2C26"/>
    <w:rsid w:val="00EC3676"/>
    <w:rsid w:val="00EC7523"/>
    <w:rsid w:val="00EC758D"/>
    <w:rsid w:val="00F20575"/>
    <w:rsid w:val="00F2739E"/>
    <w:rsid w:val="00F53267"/>
    <w:rsid w:val="00F5619C"/>
    <w:rsid w:val="00FB25C4"/>
    <w:rsid w:val="00FD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33B5"/>
  <w15:chartTrackingRefBased/>
  <w15:docId w15:val="{9B316DF7-0107-4A8C-B120-4A943097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7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1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190"/>
    <w:pPr>
      <w:ind w:left="720"/>
      <w:contextualSpacing/>
    </w:pPr>
  </w:style>
  <w:style w:type="table" w:styleId="TableGrid">
    <w:name w:val="Table Grid"/>
    <w:basedOn w:val="TableNormal"/>
    <w:uiPriority w:val="39"/>
    <w:rsid w:val="002E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60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329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.mathworks.com/help/matlab/ref/b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gallery/lines_bars_and_markers/bar_stacke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Lam</dc:creator>
  <cp:keywords/>
  <dc:description/>
  <cp:lastModifiedBy>Dominic McNulty</cp:lastModifiedBy>
  <cp:revision>116</cp:revision>
  <dcterms:created xsi:type="dcterms:W3CDTF">2022-08-21T09:53:00Z</dcterms:created>
  <dcterms:modified xsi:type="dcterms:W3CDTF">2022-09-22T02:11:00Z</dcterms:modified>
</cp:coreProperties>
</file>