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l08unuz7uqg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Evidencia: Hábitos Saludables y Gasto Calórico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Aprendiz:</w:t>
      </w:r>
      <w:r w:rsidDel="00000000" w:rsidR="00000000" w:rsidRPr="00000000">
        <w:rPr>
          <w:rtl w:val="0"/>
        </w:rPr>
        <w:t xml:space="preserve"> David Alejandro Meyer Romero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Programa:</w:t>
      </w:r>
      <w:r w:rsidDel="00000000" w:rsidR="00000000" w:rsidRPr="00000000">
        <w:rPr>
          <w:rtl w:val="0"/>
        </w:rPr>
        <w:t xml:space="preserve"> Análisis y Desarrollo de Software (ADSO)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Instructor:</w:t>
      </w:r>
      <w:r w:rsidDel="00000000" w:rsidR="00000000" w:rsidRPr="00000000">
        <w:rPr>
          <w:rtl w:val="0"/>
        </w:rPr>
        <w:t xml:space="preserve"> Gloria Yaneth Cristancho López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Ficha:</w:t>
      </w:r>
      <w:r w:rsidDel="00000000" w:rsidR="00000000" w:rsidRPr="00000000">
        <w:rPr>
          <w:rtl w:val="0"/>
        </w:rPr>
        <w:t xml:space="preserve"> 3336113</w:t>
      </w:r>
    </w:p>
    <w:p w:rsidR="00000000" w:rsidDel="00000000" w:rsidP="00000000" w:rsidRDefault="00000000" w:rsidRPr="00000000" w14:paraId="0000001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wzlam780pp8e" w:id="1"/>
      <w:bookmarkEnd w:id="1"/>
      <w:r w:rsidDel="00000000" w:rsidR="00000000" w:rsidRPr="00000000">
        <w:rPr>
          <w:b w:val="1"/>
          <w:bCs w:val="1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INTRODUCCIÓN …..…………………………………………………………………………………… 3</w:t>
      </w:r>
    </w:p>
    <w:p w:rsidR="00000000" w:rsidDel="00000000" w:rsidP="00000000" w:rsidRDefault="00000000" w:rsidRPr="00000000" w14:paraId="0000001B">
      <w:pPr>
        <w:spacing w:before="280" w:lineRule="auto"/>
        <w:rPr/>
      </w:pPr>
      <w:r w:rsidDel="00000000" w:rsidR="00000000" w:rsidRPr="00000000">
        <w:rPr>
          <w:rtl w:val="0"/>
        </w:rPr>
        <w:t xml:space="preserve">DESARROLLO DEL FOLLETO ………..………………………………………………………………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80" w:lineRule="auto"/>
        <w:rPr/>
      </w:pPr>
      <w:r w:rsidDel="00000000" w:rsidR="00000000" w:rsidRPr="00000000">
        <w:rPr>
          <w:rtl w:val="0"/>
        </w:rPr>
        <w:t xml:space="preserve">CONCLUSIONES ….…………………………………………………………………………………… 5</w:t>
      </w:r>
    </w:p>
    <w:p w:rsidR="00000000" w:rsidDel="00000000" w:rsidP="00000000" w:rsidRDefault="00000000" w:rsidRPr="00000000" w14:paraId="0000001D">
      <w:pPr>
        <w:spacing w:before="280" w:lineRule="auto"/>
        <w:rPr/>
      </w:pPr>
      <w:r w:rsidDel="00000000" w:rsidR="00000000" w:rsidRPr="00000000">
        <w:rPr>
          <w:rtl w:val="0"/>
        </w:rPr>
        <w:t xml:space="preserve">BIBLIOGRAFÍA ...……..………………………………………………………………………………… 6</w:t>
      </w:r>
    </w:p>
    <w:p w:rsidR="00000000" w:rsidDel="00000000" w:rsidP="00000000" w:rsidRDefault="00000000" w:rsidRPr="00000000" w14:paraId="0000001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s588nha4w63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ámbito del desarrollo de software, la productividad suele medirse por la calidad del código y el cumplimiento de los </w:t>
      </w:r>
      <w:r w:rsidDel="00000000" w:rsidR="00000000" w:rsidRPr="00000000">
        <w:rPr>
          <w:i w:val="1"/>
          <w:iCs w:val="1"/>
          <w:rtl w:val="0"/>
        </w:rPr>
        <w:t xml:space="preserve">deadlines</w:t>
      </w:r>
      <w:r w:rsidDel="00000000" w:rsidR="00000000" w:rsidRPr="00000000">
        <w:rPr>
          <w:rtl w:val="0"/>
        </w:rPr>
        <w:t xml:space="preserve">. Sin embargo, la herramienta principal de un programador es su propio cuerpo y mente. El presente trabajo detalla, a través de un folleto informativo, la importancia de mantener hábitos saludables, una nutrición balanceada y un control del gasto calórico para prevenir enfermedades metabólicas y optimizar el rendimiento profesional en entornos de alta demanda cognitiva.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aikeu75iotq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DESARROLLO DEL FOLLETO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Folleto Canva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129213" cy="363047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630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10163" cy="351384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351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98ddkc5665g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salud física es directamente proporcional a la eficiencia técnica. Un desarrollador saludable comete menos errores y tiene mayor claridad mental.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el gasto calórico nos permite ajustar nuestra dieta a nuestro estilo de vida sedentario, evitando el sobrepeso.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implementación de higiene y nutrición adecuada es una inversión a largo plazo en nuestra carrera profesional.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mks6cq7o3ig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BIBLIOGRAFÍA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Organización Mundial de la Salud. (2021). </w:t>
      </w:r>
      <w:r w:rsidDel="00000000" w:rsidR="00000000" w:rsidRPr="00000000">
        <w:rPr>
          <w:i w:val="1"/>
          <w:iCs w:val="1"/>
          <w:rtl w:val="0"/>
        </w:rPr>
        <w:t xml:space="preserve">Alimentación sana</w:t>
      </w:r>
      <w:r w:rsidDel="00000000" w:rsidR="00000000" w:rsidRPr="00000000">
        <w:rPr>
          <w:rtl w:val="0"/>
        </w:rPr>
        <w:t xml:space="preserve">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https://www.who.int/es/news-room/fact-sheets/detail/healthy-diet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Instituto Colombiano de Bienestar Familiar. (2020). </w:t>
      </w:r>
      <w:r w:rsidDel="00000000" w:rsidR="00000000" w:rsidRPr="00000000">
        <w:rPr>
          <w:i w:val="1"/>
          <w:iCs w:val="1"/>
          <w:rtl w:val="0"/>
        </w:rPr>
        <w:t xml:space="preserve">Guías Alimentarias Basadas en Alimentos para la población colombiana mayor de 2 años</w:t>
      </w:r>
      <w:r w:rsidDel="00000000" w:rsidR="00000000" w:rsidRPr="00000000">
        <w:rPr>
          <w:rtl w:val="0"/>
        </w:rPr>
        <w:t xml:space="preserve">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https://www.icbf.gov.co/guias-alimentarias-basadas-en-alimentos-para-la-poblacion-colombiana-mayor-de-2-anos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 Clinic. (2023). </w:t>
      </w:r>
      <w:r w:rsidDel="00000000" w:rsidR="00000000" w:rsidRPr="00000000">
        <w:rPr>
          <w:i w:val="1"/>
          <w:iCs w:val="1"/>
          <w:rtl w:val="0"/>
        </w:rPr>
        <w:t xml:space="preserve">Índice de masa corporal (IMC)</w:t>
      </w:r>
      <w:r w:rsidDel="00000000" w:rsidR="00000000" w:rsidRPr="00000000">
        <w:rPr>
          <w:rtl w:val="0"/>
        </w:rPr>
        <w:t xml:space="preserve">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https://www.mayoclinic.org/es/diseases-conditions/obesity/diagnosis-treatment/drc-20375749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Ministerio de Salud y Protección Social. (2022). </w:t>
      </w:r>
      <w:r w:rsidDel="00000000" w:rsidR="00000000" w:rsidRPr="00000000">
        <w:rPr>
          <w:i w:val="1"/>
          <w:iCs w:val="1"/>
          <w:rtl w:val="0"/>
        </w:rPr>
        <w:t xml:space="preserve">Prevención de Enfermedades No Transmisibles</w:t>
      </w:r>
      <w:r w:rsidDel="00000000" w:rsidR="00000000" w:rsidRPr="00000000">
        <w:rPr>
          <w:rtl w:val="0"/>
        </w:rPr>
        <w:t xml:space="preserve">.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https://www.minsalud.gov.co/salud/publica/PENT/Paginas/Enfermedades-no-transmisibles.aspx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foot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cbf.gov.co/guias-alimentarias-basadas-en-alimentos-para-la-poblacion-colombiana-mayor-de-2-anos" TargetMode="External"/><Relationship Id="rId10" Type="http://schemas.openxmlformats.org/officeDocument/2006/relationships/hyperlink" Target="https://www.who.int/es/news-room/fact-sheets/detail/healthy-diet" TargetMode="External"/><Relationship Id="rId13" Type="http://schemas.openxmlformats.org/officeDocument/2006/relationships/hyperlink" Target="https://www.mayoclinic.org/es/diseases-conditions/obesity/diagnosis-treatment/drc-20375749" TargetMode="External"/><Relationship Id="rId12" Type="http://schemas.openxmlformats.org/officeDocument/2006/relationships/hyperlink" Target="https://www.icbf.gov.co/guias-alimentarias-basadas-en-alimentos-para-la-poblacion-colombiana-mayor-de-2-an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ho.int/es/news-room/fact-sheets/detail/healthy-diet" TargetMode="External"/><Relationship Id="rId15" Type="http://schemas.openxmlformats.org/officeDocument/2006/relationships/hyperlink" Target="https://www.minsalud.gov.co/salud/publica/PENT/Paginas/Enfermedades-no-transmisibles.aspx" TargetMode="External"/><Relationship Id="rId14" Type="http://schemas.openxmlformats.org/officeDocument/2006/relationships/hyperlink" Target="https://www.mayoclinic.org/es/diseases-conditions/obesity/diagnosis-treatment/drc-20375749" TargetMode="External"/><Relationship Id="rId17" Type="http://schemas.openxmlformats.org/officeDocument/2006/relationships/footer" Target="footer1.xml"/><Relationship Id="rId16" Type="http://schemas.openxmlformats.org/officeDocument/2006/relationships/hyperlink" Target="https://www.minsalud.gov.co/salud/publica/PENT/Paginas/Enfermedades-no-transmisibles.aspx" TargetMode="External"/><Relationship Id="rId5" Type="http://schemas.openxmlformats.org/officeDocument/2006/relationships/styles" Target="styles.xml"/><Relationship Id="rId6" Type="http://schemas.openxmlformats.org/officeDocument/2006/relationships/hyperlink" Target="https://canva.link/jqvio3q8459mfj3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