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51EB" w14:textId="77777777" w:rsidR="00B07EB3" w:rsidRPr="006A0630" w:rsidRDefault="00B07EB3" w:rsidP="003B351A">
      <w:pPr>
        <w:pStyle w:val="Ttulo1"/>
        <w:jc w:val="center"/>
        <w:rPr>
          <w:rFonts w:asciiTheme="minorHAnsi" w:hAnsiTheme="minorHAnsi" w:cstheme="minorHAnsi"/>
          <w:b/>
          <w:bCs/>
          <w:color w:val="auto"/>
          <w:lang w:val="es-CO"/>
        </w:rPr>
      </w:pPr>
      <w:r w:rsidRPr="006A0630">
        <w:rPr>
          <w:rFonts w:asciiTheme="minorHAnsi" w:hAnsiTheme="minorHAnsi" w:cstheme="minorHAnsi"/>
          <w:b/>
          <w:bCs/>
          <w:color w:val="auto"/>
          <w:lang w:val="es-CO"/>
        </w:rPr>
        <w:t>INFORME TÉCNICO DE ERGONOMÍA, HIGIENE POSTURAL Y PLAN DE PAUSAS ACTIVAS EN EL DESARROLLO DE SOFTWARE</w:t>
      </w:r>
    </w:p>
    <w:p w14:paraId="2B107044" w14:textId="77777777" w:rsidR="00103E6C" w:rsidRPr="006A0630" w:rsidRDefault="00103E6C" w:rsidP="00FF77A0">
      <w:pPr>
        <w:jc w:val="center"/>
        <w:rPr>
          <w:rFonts w:cstheme="minorHAnsi"/>
          <w:b/>
          <w:bCs/>
          <w:lang w:val="es-CO"/>
        </w:rPr>
      </w:pPr>
    </w:p>
    <w:p w14:paraId="3AF64298" w14:textId="77777777" w:rsidR="009C1A32" w:rsidRPr="006A0630" w:rsidRDefault="009C1A32" w:rsidP="00FF77A0">
      <w:pPr>
        <w:jc w:val="center"/>
        <w:rPr>
          <w:rFonts w:cstheme="minorHAnsi"/>
          <w:b/>
          <w:bCs/>
          <w:lang w:val="es-CO"/>
        </w:rPr>
      </w:pPr>
    </w:p>
    <w:p w14:paraId="678F77FD" w14:textId="2608CEE7" w:rsidR="00B07EB3" w:rsidRPr="006A0630" w:rsidRDefault="00B07EB3" w:rsidP="004A2F87">
      <w:pPr>
        <w:jc w:val="center"/>
        <w:rPr>
          <w:rFonts w:cstheme="minorHAnsi"/>
          <w:b/>
          <w:bCs/>
          <w:lang w:val="es-CO"/>
        </w:rPr>
      </w:pPr>
      <w:r w:rsidRPr="006A0630">
        <w:rPr>
          <w:rFonts w:cstheme="minorHAnsi"/>
          <w:b/>
          <w:bCs/>
          <w:lang w:val="es-CO"/>
        </w:rPr>
        <w:t>EVIDENCIA</w:t>
      </w:r>
      <w:r w:rsidR="00287C72" w:rsidRPr="006A0630">
        <w:rPr>
          <w:rFonts w:cstheme="minorHAnsi"/>
          <w:b/>
          <w:bCs/>
          <w:lang w:val="es-CO"/>
        </w:rPr>
        <w:br/>
      </w:r>
      <w:r w:rsidRPr="006A0630">
        <w:rPr>
          <w:rFonts w:cstheme="minorHAnsi"/>
          <w:lang w:val="es-CO"/>
        </w:rPr>
        <w:t>AP4-Transversal - Higiene Postural y Pausas activas en el Desempeño Social y Laboral - GA4-230101507-AA4-EV01</w:t>
      </w:r>
    </w:p>
    <w:p w14:paraId="1499008A" w14:textId="77777777" w:rsidR="00E46423" w:rsidRPr="006A0630" w:rsidRDefault="00E46423" w:rsidP="004A2F87">
      <w:pPr>
        <w:jc w:val="center"/>
        <w:rPr>
          <w:rFonts w:cstheme="minorHAnsi"/>
          <w:lang w:val="es-CO"/>
        </w:rPr>
      </w:pPr>
    </w:p>
    <w:p w14:paraId="4A557E1A" w14:textId="77777777" w:rsidR="00651762" w:rsidRPr="006A0630" w:rsidRDefault="00651762" w:rsidP="004A2F87">
      <w:pPr>
        <w:jc w:val="center"/>
        <w:rPr>
          <w:rFonts w:cstheme="minorHAnsi"/>
          <w:lang w:val="es-CO"/>
        </w:rPr>
      </w:pPr>
    </w:p>
    <w:p w14:paraId="05FB1A07" w14:textId="2D37A22E" w:rsidR="00B07EB3" w:rsidRPr="006A0630" w:rsidRDefault="00B07EB3" w:rsidP="00FF77A0">
      <w:pPr>
        <w:jc w:val="center"/>
        <w:rPr>
          <w:rFonts w:cstheme="minorHAnsi"/>
          <w:lang w:val="es-CO"/>
        </w:rPr>
      </w:pPr>
      <w:r w:rsidRPr="006A0630">
        <w:rPr>
          <w:rFonts w:cstheme="minorHAnsi"/>
          <w:b/>
          <w:bCs/>
          <w:lang w:val="es-CO"/>
        </w:rPr>
        <w:t>APRENDIZ</w:t>
      </w:r>
      <w:r w:rsidR="00B50AC2" w:rsidRPr="006A0630">
        <w:rPr>
          <w:rFonts w:cstheme="minorHAnsi"/>
          <w:b/>
          <w:bCs/>
          <w:lang w:val="es-CO"/>
        </w:rPr>
        <w:br/>
      </w:r>
      <w:r w:rsidRPr="006A0630">
        <w:rPr>
          <w:rFonts w:cstheme="minorHAnsi"/>
          <w:lang w:val="es-CO"/>
        </w:rPr>
        <w:t>David Alejandro Meyer Romero</w:t>
      </w:r>
    </w:p>
    <w:p w14:paraId="3D632E47" w14:textId="77777777" w:rsidR="0031412A" w:rsidRPr="006A0630" w:rsidRDefault="0031412A" w:rsidP="00FF77A0">
      <w:pPr>
        <w:jc w:val="center"/>
        <w:rPr>
          <w:rFonts w:cstheme="minorHAnsi"/>
          <w:lang w:val="es-CO"/>
        </w:rPr>
      </w:pPr>
    </w:p>
    <w:p w14:paraId="67C4692D" w14:textId="77777777" w:rsidR="00651762" w:rsidRPr="006A0630" w:rsidRDefault="00651762" w:rsidP="00FF77A0">
      <w:pPr>
        <w:jc w:val="center"/>
        <w:rPr>
          <w:rFonts w:cstheme="minorHAnsi"/>
          <w:lang w:val="es-CO"/>
        </w:rPr>
      </w:pPr>
    </w:p>
    <w:p w14:paraId="0D222E5A" w14:textId="4CD3788C" w:rsidR="00B07EB3" w:rsidRPr="006A0630" w:rsidRDefault="00B07EB3" w:rsidP="00FF77A0">
      <w:pPr>
        <w:jc w:val="center"/>
        <w:rPr>
          <w:rFonts w:cstheme="minorHAnsi"/>
          <w:lang w:val="es-CO"/>
        </w:rPr>
      </w:pPr>
      <w:r w:rsidRPr="006A0630">
        <w:rPr>
          <w:rFonts w:cstheme="minorHAnsi"/>
          <w:b/>
          <w:bCs/>
          <w:lang w:val="es-CO"/>
        </w:rPr>
        <w:t>PROGRAMA DE FORMACIÓN</w:t>
      </w:r>
      <w:r w:rsidR="00D25156" w:rsidRPr="006A0630">
        <w:rPr>
          <w:rFonts w:cstheme="minorHAnsi"/>
          <w:b/>
          <w:bCs/>
          <w:lang w:val="es-CO"/>
        </w:rPr>
        <w:br/>
      </w:r>
      <w:r w:rsidRPr="006A0630">
        <w:rPr>
          <w:rFonts w:cstheme="minorHAnsi"/>
          <w:lang w:val="es-CO"/>
        </w:rPr>
        <w:t>Tecnólogo en Análisis y Desarrollo de Software (ADSO)</w:t>
      </w:r>
    </w:p>
    <w:p w14:paraId="61D0C145" w14:textId="77777777" w:rsidR="00110098" w:rsidRPr="006A0630" w:rsidRDefault="00110098" w:rsidP="00FF77A0">
      <w:pPr>
        <w:jc w:val="center"/>
        <w:rPr>
          <w:rFonts w:cstheme="minorHAnsi"/>
          <w:lang w:val="es-CO"/>
        </w:rPr>
      </w:pPr>
    </w:p>
    <w:p w14:paraId="5FCB473B" w14:textId="77777777" w:rsidR="00022CED" w:rsidRPr="006A0630" w:rsidRDefault="00022CED" w:rsidP="00FF77A0">
      <w:pPr>
        <w:jc w:val="center"/>
        <w:rPr>
          <w:rFonts w:cstheme="minorHAnsi"/>
          <w:lang w:val="es-CO"/>
        </w:rPr>
      </w:pPr>
    </w:p>
    <w:p w14:paraId="7358E1D3" w14:textId="327579B8" w:rsidR="00B07EB3" w:rsidRPr="006A0630" w:rsidRDefault="00B07EB3" w:rsidP="00FF77A0">
      <w:pPr>
        <w:jc w:val="center"/>
        <w:rPr>
          <w:rFonts w:cstheme="minorHAnsi"/>
          <w:lang w:val="es-CO"/>
        </w:rPr>
      </w:pPr>
      <w:r w:rsidRPr="006A0630">
        <w:rPr>
          <w:rFonts w:cstheme="minorHAnsi"/>
          <w:b/>
          <w:bCs/>
          <w:lang w:val="es-CO"/>
        </w:rPr>
        <w:t>NÚMERO DE FICHA</w:t>
      </w:r>
      <w:r w:rsidR="00934F49" w:rsidRPr="006A0630">
        <w:rPr>
          <w:rFonts w:cstheme="minorHAnsi"/>
          <w:b/>
          <w:bCs/>
          <w:lang w:val="es-CO"/>
        </w:rPr>
        <w:br/>
      </w:r>
      <w:r w:rsidRPr="006A0630">
        <w:rPr>
          <w:rFonts w:cstheme="minorHAnsi"/>
          <w:lang w:val="es-CO"/>
        </w:rPr>
        <w:t>3336113</w:t>
      </w:r>
    </w:p>
    <w:p w14:paraId="27F55E0F" w14:textId="77777777" w:rsidR="00937184" w:rsidRPr="006A0630" w:rsidRDefault="00937184" w:rsidP="00FF77A0">
      <w:pPr>
        <w:jc w:val="center"/>
        <w:rPr>
          <w:rFonts w:cstheme="minorHAnsi"/>
          <w:lang w:val="es-CO"/>
        </w:rPr>
      </w:pPr>
    </w:p>
    <w:p w14:paraId="711B6EDF" w14:textId="77777777" w:rsidR="00022CED" w:rsidRPr="006A0630" w:rsidRDefault="00022CED" w:rsidP="00FF77A0">
      <w:pPr>
        <w:jc w:val="center"/>
        <w:rPr>
          <w:rFonts w:cstheme="minorHAnsi"/>
          <w:lang w:val="es-CO"/>
        </w:rPr>
      </w:pPr>
    </w:p>
    <w:p w14:paraId="2076C7D9" w14:textId="147895E7" w:rsidR="00D11FE1" w:rsidRPr="006A0630" w:rsidRDefault="00B07EB3" w:rsidP="00FF77A0">
      <w:pPr>
        <w:jc w:val="center"/>
        <w:rPr>
          <w:rFonts w:cstheme="minorHAnsi"/>
          <w:b/>
          <w:bCs/>
          <w:lang w:val="es-CO"/>
        </w:rPr>
      </w:pPr>
      <w:r w:rsidRPr="006A0630">
        <w:rPr>
          <w:rFonts w:cstheme="minorHAnsi"/>
          <w:b/>
          <w:bCs/>
          <w:lang w:val="es-CO"/>
        </w:rPr>
        <w:t>INSTITUCIÓN</w:t>
      </w:r>
    </w:p>
    <w:p w14:paraId="236FC3C4" w14:textId="08D692D2" w:rsidR="00B07EB3" w:rsidRPr="006A0630" w:rsidRDefault="00B07EB3" w:rsidP="00FF77A0">
      <w:pPr>
        <w:jc w:val="center"/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 xml:space="preserve">Servicio Nacional de Aprendizaje (SENA) </w:t>
      </w:r>
      <w:r w:rsidR="006875D7" w:rsidRPr="006A0630">
        <w:rPr>
          <w:rFonts w:cstheme="minorHAnsi"/>
          <w:lang w:val="es-CO"/>
        </w:rPr>
        <w:br/>
      </w:r>
      <w:r w:rsidRPr="006A0630">
        <w:rPr>
          <w:rFonts w:cstheme="minorHAnsi"/>
          <w:lang w:val="es-CO"/>
        </w:rPr>
        <w:t>Regional Distrito Capital Bogotá D.C.</w:t>
      </w:r>
    </w:p>
    <w:p w14:paraId="1C164013" w14:textId="77777777" w:rsidR="001E23A7" w:rsidRPr="006A0630" w:rsidRDefault="001E23A7" w:rsidP="00FF77A0">
      <w:pPr>
        <w:jc w:val="center"/>
        <w:rPr>
          <w:rFonts w:cstheme="minorHAnsi"/>
          <w:lang w:val="es-CO"/>
        </w:rPr>
      </w:pPr>
    </w:p>
    <w:p w14:paraId="394AA800" w14:textId="77777777" w:rsidR="005330A1" w:rsidRPr="006A0630" w:rsidRDefault="005330A1" w:rsidP="00FF77A0">
      <w:pPr>
        <w:jc w:val="center"/>
        <w:rPr>
          <w:rFonts w:cstheme="minorHAnsi"/>
          <w:lang w:val="es-CO"/>
        </w:rPr>
      </w:pPr>
    </w:p>
    <w:p w14:paraId="17C5443B" w14:textId="59F8CFD9" w:rsidR="00B156F1" w:rsidRPr="006A0630" w:rsidRDefault="00B07EB3" w:rsidP="00FF77A0">
      <w:pPr>
        <w:jc w:val="center"/>
        <w:rPr>
          <w:rFonts w:cstheme="minorHAnsi"/>
          <w:b/>
          <w:bCs/>
          <w:lang w:val="es-CO"/>
        </w:rPr>
      </w:pPr>
      <w:r w:rsidRPr="006A0630">
        <w:rPr>
          <w:rFonts w:cstheme="minorHAnsi"/>
          <w:b/>
          <w:bCs/>
          <w:lang w:val="es-CO"/>
        </w:rPr>
        <w:t>AÑO</w:t>
      </w:r>
    </w:p>
    <w:p w14:paraId="2ED0890C" w14:textId="28E66179" w:rsidR="006A0630" w:rsidRPr="00A143FE" w:rsidRDefault="00B07EB3" w:rsidP="00A143FE">
      <w:pPr>
        <w:jc w:val="center"/>
        <w:rPr>
          <w:rFonts w:cstheme="minorHAnsi"/>
        </w:rPr>
      </w:pPr>
      <w:r w:rsidRPr="006A0630">
        <w:rPr>
          <w:rFonts w:cstheme="minorHAnsi"/>
          <w:lang w:val="es-CO"/>
        </w:rPr>
        <w:t>2026</w:t>
      </w:r>
    </w:p>
    <w:p w14:paraId="2BFB40A7" w14:textId="77777777" w:rsidR="009D391B" w:rsidRPr="006A0630" w:rsidRDefault="009D391B" w:rsidP="00C501EE">
      <w:pPr>
        <w:pStyle w:val="Ttulo2"/>
        <w:jc w:val="center"/>
        <w:rPr>
          <w:rFonts w:asciiTheme="minorHAnsi" w:hAnsiTheme="minorHAnsi" w:cstheme="minorHAnsi"/>
          <w:b/>
          <w:bCs/>
          <w:color w:val="auto"/>
          <w:lang w:val="es-CO"/>
        </w:rPr>
      </w:pPr>
      <w:r w:rsidRPr="006A0630">
        <w:rPr>
          <w:rFonts w:asciiTheme="minorHAnsi" w:hAnsiTheme="minorHAnsi" w:cstheme="minorHAnsi"/>
          <w:b/>
          <w:bCs/>
          <w:color w:val="auto"/>
          <w:lang w:val="es-CO"/>
        </w:rPr>
        <w:lastRenderedPageBreak/>
        <w:t>INTRODUCCIÓN</w:t>
      </w:r>
    </w:p>
    <w:p w14:paraId="74D05E50" w14:textId="77777777" w:rsidR="00FD5F5A" w:rsidRPr="006A0630" w:rsidRDefault="00FD5F5A">
      <w:pPr>
        <w:rPr>
          <w:rFonts w:cstheme="minorHAnsi"/>
        </w:rPr>
      </w:pPr>
    </w:p>
    <w:p w14:paraId="6E5FFCF9" w14:textId="77777777" w:rsidR="00004F88" w:rsidRPr="006A0630" w:rsidRDefault="009D391B" w:rsidP="009D391B">
      <w:p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La optimización de un sistema de información no depende únicamente de la eficiencia de sus algoritmos o de la escalabilidad de su infraestructura tecnológica, sino también de la sostenibilidad y el cuidado del operador humano encargado de su construcción.</w:t>
      </w:r>
    </w:p>
    <w:p w14:paraId="076A430D" w14:textId="77777777" w:rsidR="00777D53" w:rsidRPr="006A0630" w:rsidRDefault="009D391B" w:rsidP="009D391B">
      <w:p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 xml:space="preserve">En el sector de la ingeniería y el desarrollo de software, los profesionales se enfrentan a jornadas extensas de trabajo sedentario, mantenimiento de posturas estáticas prolongadas y ejecución de movimientos repetitivos en interfaces de entrada como el teclado y el </w:t>
      </w:r>
      <w:proofErr w:type="gramStart"/>
      <w:r w:rsidRPr="006A0630">
        <w:rPr>
          <w:rFonts w:cstheme="minorHAnsi"/>
          <w:lang w:val="es-CO"/>
        </w:rPr>
        <w:t>mouse</w:t>
      </w:r>
      <w:proofErr w:type="gramEnd"/>
      <w:r w:rsidRPr="006A0630">
        <w:rPr>
          <w:rFonts w:cstheme="minorHAnsi"/>
          <w:lang w:val="es-CO"/>
        </w:rPr>
        <w:t>.</w:t>
      </w:r>
    </w:p>
    <w:p w14:paraId="60EC00A9" w14:textId="3990E9E8" w:rsidR="009D391B" w:rsidRPr="006A0630" w:rsidRDefault="009D391B" w:rsidP="009D391B">
      <w:p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Estas condiciones representan un entorno de alta exposición a riesgos de carácter biomecánico.</w:t>
      </w:r>
    </w:p>
    <w:p w14:paraId="7FCBB1F3" w14:textId="77777777" w:rsidR="00485FFD" w:rsidRPr="006A0630" w:rsidRDefault="009D391B" w:rsidP="009D391B">
      <w:p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El propósito de este informe técnico es identificar y aplicar los estándares de ergonomía e higiene postural dentro del área ocupacional del tecnólogo en Análisis y Desarrollo de Software (ADSO).</w:t>
      </w:r>
    </w:p>
    <w:p w14:paraId="7CD7A8EE" w14:textId="77777777" w:rsidR="00D34978" w:rsidRPr="006A0630" w:rsidRDefault="009D391B" w:rsidP="009D391B">
      <w:p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A través de este análisis, se busca fundamentar un plan de pausas activas adaptado a la naturaleza de la función productiva.</w:t>
      </w:r>
    </w:p>
    <w:p w14:paraId="58E243DC" w14:textId="02FE9CF2" w:rsidR="009D391B" w:rsidRPr="006A0630" w:rsidRDefault="009D391B" w:rsidP="009D391B">
      <w:p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La implementación de estas estrategias no solo actúa como un factor preventivo ante enfermedades laborales crónicas —como el síndrome del túnel carpiano, la fatiga visual o los trastornos musculoesqueléticos en la zona lumbar y cervical—, sino que también interviene positivamente en la productividad, disminuyendo los errores de lógica y garantizando un desempeño laboral óptimo y saludable.</w:t>
      </w:r>
    </w:p>
    <w:p w14:paraId="4A5A16CB" w14:textId="77777777" w:rsidR="00976BE0" w:rsidRPr="006A0630" w:rsidRDefault="00976BE0">
      <w:pPr>
        <w:rPr>
          <w:rFonts w:cstheme="minorHAnsi"/>
        </w:rPr>
      </w:pPr>
    </w:p>
    <w:p w14:paraId="10FA13CE" w14:textId="77777777" w:rsidR="00774ABA" w:rsidRPr="006A0630" w:rsidRDefault="00774ABA">
      <w:pPr>
        <w:rPr>
          <w:rFonts w:cstheme="minorHAnsi"/>
        </w:rPr>
      </w:pPr>
    </w:p>
    <w:p w14:paraId="64D676D6" w14:textId="77777777" w:rsidR="00774ABA" w:rsidRPr="006A0630" w:rsidRDefault="00774ABA">
      <w:pPr>
        <w:rPr>
          <w:rFonts w:cstheme="minorHAnsi"/>
        </w:rPr>
      </w:pPr>
    </w:p>
    <w:p w14:paraId="2D3DC379" w14:textId="77777777" w:rsidR="00993565" w:rsidRPr="006A0630" w:rsidRDefault="00993565">
      <w:pPr>
        <w:rPr>
          <w:rFonts w:cstheme="minorHAnsi"/>
        </w:rPr>
      </w:pPr>
    </w:p>
    <w:p w14:paraId="3580C5D6" w14:textId="77777777" w:rsidR="00993565" w:rsidRPr="006A0630" w:rsidRDefault="00993565">
      <w:pPr>
        <w:rPr>
          <w:rFonts w:cstheme="minorHAnsi"/>
        </w:rPr>
      </w:pPr>
    </w:p>
    <w:p w14:paraId="28326428" w14:textId="77777777" w:rsidR="00993565" w:rsidRPr="006A0630" w:rsidRDefault="00993565">
      <w:pPr>
        <w:rPr>
          <w:rFonts w:cstheme="minorHAnsi"/>
        </w:rPr>
      </w:pPr>
    </w:p>
    <w:p w14:paraId="30391BF6" w14:textId="77777777" w:rsidR="00993565" w:rsidRPr="006A0630" w:rsidRDefault="00993565">
      <w:pPr>
        <w:rPr>
          <w:rFonts w:cstheme="minorHAnsi"/>
        </w:rPr>
      </w:pPr>
    </w:p>
    <w:p w14:paraId="19F28682" w14:textId="77777777" w:rsidR="00993565" w:rsidRPr="006A0630" w:rsidRDefault="00993565">
      <w:pPr>
        <w:rPr>
          <w:rFonts w:cstheme="minorHAnsi"/>
        </w:rPr>
      </w:pPr>
    </w:p>
    <w:p w14:paraId="77A38371" w14:textId="77777777" w:rsidR="00993565" w:rsidRPr="006A0630" w:rsidRDefault="00993565">
      <w:pPr>
        <w:rPr>
          <w:rFonts w:cstheme="minorHAnsi"/>
        </w:rPr>
      </w:pPr>
    </w:p>
    <w:p w14:paraId="6E1B5926" w14:textId="77777777" w:rsidR="006A0630" w:rsidRDefault="006A0630">
      <w:pPr>
        <w:rPr>
          <w:rFonts w:cstheme="minorHAnsi"/>
        </w:rPr>
      </w:pPr>
    </w:p>
    <w:p w14:paraId="5986DF45" w14:textId="77777777" w:rsidR="00A143FE" w:rsidRPr="006A0630" w:rsidRDefault="00A143FE">
      <w:pPr>
        <w:rPr>
          <w:rFonts w:cstheme="minorHAnsi"/>
        </w:rPr>
      </w:pPr>
    </w:p>
    <w:p w14:paraId="0F942777" w14:textId="77777777" w:rsidR="00C30E21" w:rsidRPr="006A0630" w:rsidRDefault="00C30E21" w:rsidP="00D211E3">
      <w:pPr>
        <w:pStyle w:val="Ttulo2"/>
        <w:jc w:val="center"/>
        <w:rPr>
          <w:rFonts w:asciiTheme="minorHAnsi" w:hAnsiTheme="minorHAnsi" w:cstheme="minorHAnsi"/>
          <w:b/>
          <w:bCs/>
          <w:color w:val="auto"/>
          <w:lang w:val="es-CO"/>
        </w:rPr>
      </w:pPr>
      <w:r w:rsidRPr="006A0630">
        <w:rPr>
          <w:rFonts w:asciiTheme="minorHAnsi" w:hAnsiTheme="minorHAnsi" w:cstheme="minorHAnsi"/>
          <w:b/>
          <w:bCs/>
          <w:color w:val="auto"/>
          <w:lang w:val="es-CO"/>
        </w:rPr>
        <w:lastRenderedPageBreak/>
        <w:t>DESARROLLO DEL TALLER: DIAGNÓSTICO ERGONÓMICO E HIGIENE POSTURAL</w:t>
      </w:r>
    </w:p>
    <w:p w14:paraId="543A4538" w14:textId="77777777" w:rsidR="00AD56BB" w:rsidRPr="006A0630" w:rsidRDefault="00AD56BB">
      <w:pPr>
        <w:rPr>
          <w:rFonts w:cstheme="minorHAnsi"/>
        </w:rPr>
      </w:pPr>
    </w:p>
    <w:p w14:paraId="40717BE1" w14:textId="77777777" w:rsidR="001A6731" w:rsidRPr="006A0630" w:rsidRDefault="00C30E21" w:rsidP="00C30E21">
      <w:p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Para determinar las condiciones óptimas en el desempeño de la función productiva del tecnólogo en Análisis y Desarrollo de Software (ADSO), se realizó un análisis conceptual y una validación interactiva de los estándares ergonómicos aplicados a estaciones de trabajo informáticas.</w:t>
      </w:r>
    </w:p>
    <w:p w14:paraId="41BAC9A9" w14:textId="049AC483" w:rsidR="00C30E21" w:rsidRPr="006A0630" w:rsidRDefault="00C30E21" w:rsidP="00C30E21">
      <w:p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Los resultados y requerimientos técnicos se desglosan a continuación:</w:t>
      </w:r>
    </w:p>
    <w:p w14:paraId="35D73289" w14:textId="1B605636" w:rsidR="00C30E21" w:rsidRPr="006A0630" w:rsidRDefault="00C30E21" w:rsidP="004253F4">
      <w:pPr>
        <w:pStyle w:val="Ttulo3"/>
        <w:rPr>
          <w:rFonts w:cstheme="minorHAnsi"/>
          <w:b/>
          <w:bCs/>
          <w:color w:val="auto"/>
          <w:lang w:val="es-CO"/>
        </w:rPr>
      </w:pPr>
      <w:r w:rsidRPr="006A0630">
        <w:rPr>
          <w:rFonts w:cstheme="minorHAnsi"/>
          <w:b/>
          <w:bCs/>
          <w:color w:val="auto"/>
          <w:lang w:val="es-CO"/>
        </w:rPr>
        <w:t>1. Estándares Ergonómicos para el Desarrollo de Software</w:t>
      </w:r>
    </w:p>
    <w:p w14:paraId="1BBA78F4" w14:textId="77777777" w:rsidR="00C30E21" w:rsidRPr="006A0630" w:rsidRDefault="00C30E21" w:rsidP="00C30E21">
      <w:p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El diseño de la estación de trabajo de un programador debe responder a criterios antropométricos específicos para neutralizar la carga física estática:</w:t>
      </w:r>
    </w:p>
    <w:p w14:paraId="296C073C" w14:textId="77777777" w:rsidR="00BB35DA" w:rsidRPr="006A0630" w:rsidRDefault="00C30E21" w:rsidP="00C30E21">
      <w:pPr>
        <w:numPr>
          <w:ilvl w:val="0"/>
          <w:numId w:val="2"/>
        </w:numPr>
        <w:rPr>
          <w:rFonts w:cstheme="minorHAnsi"/>
          <w:lang w:val="es-CO"/>
        </w:rPr>
      </w:pPr>
      <w:r w:rsidRPr="006A0630">
        <w:rPr>
          <w:rFonts w:cstheme="minorHAnsi"/>
          <w:b/>
          <w:bCs/>
          <w:lang w:val="es-CO"/>
        </w:rPr>
        <w:t>Higiene Visual</w:t>
      </w:r>
    </w:p>
    <w:p w14:paraId="5BBEF18B" w14:textId="1E547728" w:rsidR="00C30E21" w:rsidRPr="006A0630" w:rsidRDefault="00C30E21" w:rsidP="00BB35DA">
      <w:pPr>
        <w:numPr>
          <w:ilvl w:val="1"/>
          <w:numId w:val="2"/>
        </w:num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La pantalla principal debe ubicarse a una distancia de entre 50 y 70 cm de los ojos, manteniendo el borde superior del monitor a la altura de la línea horizontal de visión para evitar la flexión o extensión nociva del cuello (columna cervical).</w:t>
      </w:r>
    </w:p>
    <w:p w14:paraId="058D8371" w14:textId="77777777" w:rsidR="00C215A2" w:rsidRPr="006A0630" w:rsidRDefault="00C30E21" w:rsidP="00C30E21">
      <w:pPr>
        <w:numPr>
          <w:ilvl w:val="0"/>
          <w:numId w:val="2"/>
        </w:numPr>
        <w:rPr>
          <w:rFonts w:cstheme="minorHAnsi"/>
          <w:lang w:val="es-CO"/>
        </w:rPr>
      </w:pPr>
      <w:r w:rsidRPr="006A0630">
        <w:rPr>
          <w:rFonts w:cstheme="minorHAnsi"/>
          <w:b/>
          <w:bCs/>
          <w:lang w:val="es-CO"/>
        </w:rPr>
        <w:t>Geometría de Soporte (Ángulos Rectos)</w:t>
      </w:r>
    </w:p>
    <w:p w14:paraId="47455795" w14:textId="6ECE9094" w:rsidR="00C30E21" w:rsidRPr="006A0630" w:rsidRDefault="00C30E21" w:rsidP="00F76E07">
      <w:pPr>
        <w:numPr>
          <w:ilvl w:val="1"/>
          <w:numId w:val="2"/>
        </w:num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La silla e interfaz de trabajo deben permitir que los codos mantengan un ángulo de 90° respecto al teclado, asegurando que las muñecas operen en una posición neutra y apoyada para mitigar la presión sobre el nervio mediano (prevención del Síndrome del Túnel Carpiano).</w:t>
      </w:r>
    </w:p>
    <w:p w14:paraId="09D6904B" w14:textId="77777777" w:rsidR="00266271" w:rsidRPr="006A0630" w:rsidRDefault="00C30E21" w:rsidP="00C30E21">
      <w:pPr>
        <w:numPr>
          <w:ilvl w:val="0"/>
          <w:numId w:val="2"/>
        </w:numPr>
        <w:rPr>
          <w:rFonts w:cstheme="minorHAnsi"/>
          <w:lang w:val="es-CO"/>
        </w:rPr>
      </w:pPr>
      <w:r w:rsidRPr="006A0630">
        <w:rPr>
          <w:rFonts w:cstheme="minorHAnsi"/>
          <w:b/>
          <w:bCs/>
          <w:lang w:val="es-CO"/>
        </w:rPr>
        <w:t>Apoyo Lumbar e Inferior</w:t>
      </w:r>
    </w:p>
    <w:p w14:paraId="4A3DD328" w14:textId="1C732EC9" w:rsidR="00C30E21" w:rsidRPr="006A0630" w:rsidRDefault="00C30E21" w:rsidP="00266271">
      <w:pPr>
        <w:numPr>
          <w:ilvl w:val="1"/>
          <w:numId w:val="2"/>
        </w:num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El respaldo de la silla debe conservar la curvatura natural de la columna lumbar. Las rodillas deben situarse a un ángulo de 90°, manteniendo los pies completamente planos sobre el suelo o sobre un reposapiés técnico, favoreciendo el retorno venoso.</w:t>
      </w:r>
    </w:p>
    <w:p w14:paraId="67A066CD" w14:textId="77777777" w:rsidR="00292B3C" w:rsidRPr="006A0630" w:rsidRDefault="00292B3C" w:rsidP="00292B3C">
      <w:pPr>
        <w:rPr>
          <w:rFonts w:cstheme="minorHAnsi"/>
          <w:lang w:val="es-CO"/>
        </w:rPr>
      </w:pPr>
    </w:p>
    <w:p w14:paraId="544709B1" w14:textId="77777777" w:rsidR="00292B3C" w:rsidRPr="006A0630" w:rsidRDefault="00292B3C" w:rsidP="00292B3C">
      <w:pPr>
        <w:rPr>
          <w:rFonts w:cstheme="minorHAnsi"/>
          <w:lang w:val="es-CO"/>
        </w:rPr>
      </w:pPr>
    </w:p>
    <w:p w14:paraId="23E31513" w14:textId="77777777" w:rsidR="00292B3C" w:rsidRPr="006A0630" w:rsidRDefault="00292B3C" w:rsidP="00292B3C">
      <w:pPr>
        <w:rPr>
          <w:rFonts w:cstheme="minorHAnsi"/>
          <w:lang w:val="es-CO"/>
        </w:rPr>
      </w:pPr>
    </w:p>
    <w:p w14:paraId="34DADCE1" w14:textId="77777777" w:rsidR="006A0630" w:rsidRDefault="006A0630" w:rsidP="00292B3C">
      <w:pPr>
        <w:rPr>
          <w:rFonts w:cstheme="minorHAnsi"/>
          <w:lang w:val="es-CO"/>
        </w:rPr>
      </w:pPr>
    </w:p>
    <w:p w14:paraId="06B36880" w14:textId="77777777" w:rsidR="00A143FE" w:rsidRPr="006A0630" w:rsidRDefault="00A143FE" w:rsidP="00292B3C">
      <w:pPr>
        <w:rPr>
          <w:rFonts w:cstheme="minorHAnsi"/>
          <w:lang w:val="es-CO"/>
        </w:rPr>
      </w:pPr>
    </w:p>
    <w:p w14:paraId="40DA922D" w14:textId="6AE8323B" w:rsidR="00C30E21" w:rsidRPr="006A0630" w:rsidRDefault="00C30E21" w:rsidP="00292B3C">
      <w:pPr>
        <w:pStyle w:val="Ttulo3"/>
        <w:rPr>
          <w:rFonts w:cstheme="minorHAnsi"/>
          <w:b/>
          <w:bCs/>
          <w:color w:val="auto"/>
          <w:lang w:val="es-CO"/>
        </w:rPr>
      </w:pPr>
      <w:r w:rsidRPr="006A0630">
        <w:rPr>
          <w:rFonts w:cstheme="minorHAnsi"/>
          <w:b/>
          <w:bCs/>
          <w:color w:val="auto"/>
          <w:lang w:val="es-CO"/>
        </w:rPr>
        <w:lastRenderedPageBreak/>
        <w:t>2. Soportes de Validación Interactiva (Evidencia de Apropiación)</w:t>
      </w:r>
    </w:p>
    <w:p w14:paraId="1C26B0BA" w14:textId="77777777" w:rsidR="00C30E21" w:rsidRPr="006A0630" w:rsidRDefault="00C30E21" w:rsidP="00C30E21">
      <w:p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 xml:space="preserve">Como mecanismo de control y afianzamiento de los conceptos revisados en el material formativo del SENA, se ejecutaron las pruebas técnicas en la plataforma </w:t>
      </w:r>
      <w:proofErr w:type="spellStart"/>
      <w:r w:rsidRPr="006A0630">
        <w:rPr>
          <w:rFonts w:cstheme="minorHAnsi"/>
          <w:lang w:val="es-CO"/>
        </w:rPr>
        <w:t>Educaplay</w:t>
      </w:r>
      <w:proofErr w:type="spellEnd"/>
      <w:r w:rsidRPr="006A0630">
        <w:rPr>
          <w:rFonts w:cstheme="minorHAnsi"/>
          <w:lang w:val="es-CO"/>
        </w:rPr>
        <w:t>, alcanzando el umbral de éxito requerido (100% de respuestas correctas).</w:t>
      </w:r>
    </w:p>
    <w:p w14:paraId="13568406" w14:textId="395B8D48" w:rsidR="00C30E21" w:rsidRPr="006A0630" w:rsidRDefault="00C30E21" w:rsidP="00A250F6">
      <w:pPr>
        <w:pStyle w:val="Ttulo4"/>
        <w:rPr>
          <w:rFonts w:cstheme="minorHAnsi"/>
          <w:b/>
          <w:bCs/>
          <w:color w:val="auto"/>
          <w:lang w:val="es-CO"/>
        </w:rPr>
      </w:pPr>
      <w:r w:rsidRPr="006A0630">
        <w:rPr>
          <w:rFonts w:cstheme="minorHAnsi"/>
          <w:b/>
          <w:bCs/>
          <w:color w:val="auto"/>
          <w:lang w:val="es-CO"/>
        </w:rPr>
        <w:t>2.1. Evidencia Interactiva: Conceptos de Ergonomía</w:t>
      </w:r>
    </w:p>
    <w:p w14:paraId="79139359" w14:textId="659A75A4" w:rsidR="00C30E21" w:rsidRPr="006A0630" w:rsidRDefault="00AC71D1" w:rsidP="00C30E21">
      <w:pPr>
        <w:rPr>
          <w:rFonts w:cstheme="minorHAnsi"/>
          <w:lang w:val="es-CO"/>
        </w:rPr>
      </w:pPr>
      <w:r>
        <w:rPr>
          <w:rFonts w:cstheme="minorHAnsi"/>
          <w:noProof/>
          <w:lang w:val="es-CO"/>
        </w:rPr>
        <w:drawing>
          <wp:inline distT="0" distB="0" distL="0" distR="0" wp14:anchorId="627978D2" wp14:editId="00A5D99D">
            <wp:extent cx="5730240" cy="3215640"/>
            <wp:effectExtent l="0" t="0" r="3810" b="3810"/>
            <wp:docPr id="1349287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3DA0" w14:textId="77B71542" w:rsidR="00C30E21" w:rsidRPr="006A0630" w:rsidRDefault="00C30E21" w:rsidP="00CC79E7">
      <w:pPr>
        <w:pStyle w:val="Ttulo4"/>
        <w:rPr>
          <w:rFonts w:cstheme="minorHAnsi"/>
          <w:b/>
          <w:bCs/>
          <w:color w:val="auto"/>
          <w:lang w:val="es-CO"/>
        </w:rPr>
      </w:pPr>
      <w:r w:rsidRPr="006A0630">
        <w:rPr>
          <w:rFonts w:cstheme="minorHAnsi"/>
          <w:b/>
          <w:bCs/>
          <w:color w:val="auto"/>
          <w:lang w:val="es-CO"/>
        </w:rPr>
        <w:t>2.2 Evidencia Interactiva: Conceptos de Pausas Activas</w:t>
      </w:r>
    </w:p>
    <w:p w14:paraId="4866D3D3" w14:textId="4FDD8DCB" w:rsidR="00A143FE" w:rsidRPr="006A0630" w:rsidRDefault="002A17C2">
      <w:pPr>
        <w:rPr>
          <w:rFonts w:cstheme="minorHAnsi"/>
        </w:rPr>
      </w:pPr>
      <w:r>
        <w:rPr>
          <w:rFonts w:cstheme="minorHAnsi"/>
          <w:i/>
          <w:iCs/>
          <w:noProof/>
          <w:lang w:val="es-CO"/>
        </w:rPr>
        <w:drawing>
          <wp:inline distT="0" distB="0" distL="0" distR="0" wp14:anchorId="26F0D486" wp14:editId="409EC39E">
            <wp:extent cx="5730240" cy="3215640"/>
            <wp:effectExtent l="0" t="0" r="3810" b="3810"/>
            <wp:docPr id="9735528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702B" w14:textId="77777777" w:rsidR="00577890" w:rsidRPr="006A0630" w:rsidRDefault="00577890" w:rsidP="00577890">
      <w:pPr>
        <w:pStyle w:val="Ttulo3"/>
        <w:rPr>
          <w:rFonts w:cstheme="minorHAnsi"/>
          <w:b/>
          <w:bCs/>
          <w:color w:val="auto"/>
          <w:lang w:val="es-CO"/>
        </w:rPr>
      </w:pPr>
      <w:r w:rsidRPr="006A0630">
        <w:rPr>
          <w:rFonts w:cstheme="minorHAnsi"/>
          <w:b/>
          <w:bCs/>
          <w:color w:val="auto"/>
          <w:lang w:val="es-CO"/>
        </w:rPr>
        <w:lastRenderedPageBreak/>
        <w:t>3. PLAN DE EJECUCIÓN Y RUTINA DE PAUSAS ACTIVAS (ENLACE DE VIDEO)</w:t>
      </w:r>
    </w:p>
    <w:p w14:paraId="4EFF0F77" w14:textId="77777777" w:rsidR="00577890" w:rsidRPr="006A0630" w:rsidRDefault="00577890" w:rsidP="00577890">
      <w:p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Para dar cumplimiento al componente práctico de la competencia, se diseñó una rutina de acondicionamiento muscular y articular dirigida de forma específica a los segmentos corporales más afectados por la digitación y el sedentarismo en el desarrollo de software.</w:t>
      </w:r>
    </w:p>
    <w:p w14:paraId="2A012D03" w14:textId="6C4C5EE9" w:rsidR="00577890" w:rsidRPr="006A0630" w:rsidRDefault="00577890" w:rsidP="00577890">
      <w:pPr>
        <w:rPr>
          <w:rFonts w:cstheme="minorHAnsi"/>
          <w:lang w:val="es-CO"/>
        </w:rPr>
      </w:pPr>
      <w:r w:rsidRPr="006A0630">
        <w:rPr>
          <w:rFonts w:cstheme="minorHAnsi"/>
          <w:b/>
          <w:bCs/>
          <w:lang w:val="es-CO"/>
        </w:rPr>
        <w:t>Enlace de Acceso al Video Sustentación:</w:t>
      </w:r>
      <w:r w:rsidRPr="006A0630">
        <w:rPr>
          <w:rFonts w:cstheme="minorHAnsi"/>
          <w:lang w:val="es-CO"/>
        </w:rPr>
        <w:t xml:space="preserve"> </w:t>
      </w:r>
      <w:hyperlink r:id="rId7" w:history="1">
        <w:r w:rsidR="00970DA5" w:rsidRPr="006A0630">
          <w:rPr>
            <w:rStyle w:val="Hipervnculo"/>
            <w:rFonts w:cstheme="minorHAnsi"/>
            <w:color w:val="auto"/>
            <w:lang w:val="es-CO"/>
          </w:rPr>
          <w:t>GA4-230101507-AA4-EV1</w:t>
        </w:r>
      </w:hyperlink>
    </w:p>
    <w:p w14:paraId="0A288B55" w14:textId="3F9E91B9" w:rsidR="00577890" w:rsidRPr="006A0630" w:rsidRDefault="00577890" w:rsidP="00577890">
      <w:pPr>
        <w:rPr>
          <w:rFonts w:cstheme="minorHAnsi"/>
          <w:b/>
          <w:bCs/>
          <w:lang w:val="es-CO"/>
        </w:rPr>
      </w:pPr>
      <w:r w:rsidRPr="006A0630">
        <w:rPr>
          <w:rFonts w:cstheme="minorHAnsi"/>
          <w:b/>
          <w:bCs/>
          <w:lang w:val="es-CO"/>
        </w:rPr>
        <w:t>Cronograma Técnico de Ejecución del Video</w:t>
      </w:r>
      <w:r w:rsidR="00E921AE" w:rsidRPr="006A0630">
        <w:rPr>
          <w:rFonts w:cstheme="minorHAnsi"/>
          <w:b/>
          <w:bCs/>
          <w:lang w:val="es-C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874"/>
        <w:gridCol w:w="2799"/>
        <w:gridCol w:w="2817"/>
      </w:tblGrid>
      <w:tr w:rsidR="00577890" w:rsidRPr="006A0630" w14:paraId="6ECD92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5FB0B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b/>
                <w:bCs/>
                <w:lang w:val="es-CO"/>
              </w:rPr>
              <w:t>Tiempo (Minutos)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CB38E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b/>
                <w:bCs/>
                <w:lang w:val="es-CO"/>
              </w:rPr>
              <w:t>Segmento Corporal / Región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13145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b/>
                <w:bCs/>
                <w:lang w:val="es-CO"/>
              </w:rPr>
              <w:t>Ejercicio Práctico Sugerido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BE003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b/>
                <w:bCs/>
                <w:lang w:val="es-CO"/>
              </w:rPr>
              <w:t>Objetivo Ergonómico</w:t>
            </w:r>
          </w:p>
        </w:tc>
      </w:tr>
      <w:tr w:rsidR="00577890" w:rsidRPr="006A0630" w14:paraId="6E847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C25A7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b/>
                <w:bCs/>
                <w:lang w:val="es-CO"/>
              </w:rPr>
              <w:t>0:00 - 0:20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D7061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b/>
                <w:bCs/>
                <w:lang w:val="es-CO"/>
              </w:rPr>
              <w:t>Presentación Inicial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D049D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El aprendiz aparece de pie frente a la cámara, saluda de manera formal y se identifica con nombre, ficha y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6F0E5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Contextualización de la función productiva.</w:t>
            </w:r>
          </w:p>
        </w:tc>
      </w:tr>
      <w:tr w:rsidR="00577890" w:rsidRPr="006A0630" w14:paraId="0F827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2EEFB" w14:textId="77777777" w:rsidR="00ED4E7E" w:rsidRPr="006A0630" w:rsidRDefault="00ED4E7E" w:rsidP="00577890">
            <w:pPr>
              <w:rPr>
                <w:rFonts w:cstheme="minorHAnsi"/>
                <w:b/>
                <w:bCs/>
                <w:lang w:val="es-CO"/>
              </w:rPr>
            </w:pPr>
          </w:p>
          <w:p w14:paraId="55E5FE85" w14:textId="77777777" w:rsidR="004A227D" w:rsidRPr="006A0630" w:rsidRDefault="004A227D" w:rsidP="00577890">
            <w:pPr>
              <w:rPr>
                <w:rFonts w:cstheme="minorHAnsi"/>
                <w:b/>
                <w:bCs/>
                <w:lang w:val="es-CO"/>
              </w:rPr>
            </w:pPr>
          </w:p>
          <w:p w14:paraId="0E54BE06" w14:textId="77777777" w:rsidR="00ED4E7E" w:rsidRPr="006A0630" w:rsidRDefault="00ED4E7E" w:rsidP="00577890">
            <w:pPr>
              <w:rPr>
                <w:rFonts w:cstheme="minorHAnsi"/>
                <w:b/>
                <w:bCs/>
                <w:lang w:val="es-CO"/>
              </w:rPr>
            </w:pPr>
          </w:p>
          <w:p w14:paraId="6E65E86C" w14:textId="77777777" w:rsidR="00ED4E7E" w:rsidRPr="006A0630" w:rsidRDefault="00ED4E7E" w:rsidP="00577890">
            <w:pPr>
              <w:rPr>
                <w:rFonts w:cstheme="minorHAnsi"/>
                <w:b/>
                <w:bCs/>
                <w:lang w:val="es-CO"/>
              </w:rPr>
            </w:pPr>
          </w:p>
          <w:p w14:paraId="48E8EE01" w14:textId="77777777" w:rsidR="00ED4E7E" w:rsidRPr="006A0630" w:rsidRDefault="00ED4E7E" w:rsidP="00577890">
            <w:pPr>
              <w:rPr>
                <w:rFonts w:cstheme="minorHAnsi"/>
                <w:b/>
                <w:bCs/>
                <w:lang w:val="es-CO"/>
              </w:rPr>
            </w:pPr>
          </w:p>
          <w:p w14:paraId="4B4E61DE" w14:textId="77777777" w:rsidR="00577890" w:rsidRPr="006A0630" w:rsidRDefault="00577890" w:rsidP="00577890">
            <w:pPr>
              <w:rPr>
                <w:rFonts w:cstheme="minorHAnsi"/>
                <w:b/>
                <w:bCs/>
                <w:lang w:val="es-CO"/>
              </w:rPr>
            </w:pPr>
            <w:r w:rsidRPr="006A0630">
              <w:rPr>
                <w:rFonts w:cstheme="minorHAnsi"/>
                <w:b/>
                <w:bCs/>
                <w:lang w:val="es-CO"/>
              </w:rPr>
              <w:t>0:20 - 0:35</w:t>
            </w:r>
          </w:p>
          <w:p w14:paraId="2EC3CFDF" w14:textId="77777777" w:rsidR="00ED4E7E" w:rsidRPr="006A0630" w:rsidRDefault="00ED4E7E" w:rsidP="00577890">
            <w:pPr>
              <w:rPr>
                <w:rFonts w:cstheme="minorHAnsi"/>
                <w:b/>
                <w:bCs/>
                <w:lang w:val="es-CO"/>
              </w:rPr>
            </w:pPr>
          </w:p>
          <w:p w14:paraId="4AB8041F" w14:textId="77777777" w:rsidR="00ED4E7E" w:rsidRPr="006A0630" w:rsidRDefault="00ED4E7E" w:rsidP="00577890">
            <w:pPr>
              <w:rPr>
                <w:rFonts w:cstheme="minorHAnsi"/>
                <w:b/>
                <w:bCs/>
                <w:lang w:val="es-CO"/>
              </w:rPr>
            </w:pPr>
          </w:p>
          <w:p w14:paraId="3A4D312A" w14:textId="77777777" w:rsidR="004A227D" w:rsidRPr="006A0630" w:rsidRDefault="004A227D" w:rsidP="00577890">
            <w:pPr>
              <w:rPr>
                <w:rFonts w:cstheme="minorHAnsi"/>
                <w:b/>
                <w:bCs/>
                <w:lang w:val="es-CO"/>
              </w:rPr>
            </w:pPr>
          </w:p>
          <w:p w14:paraId="23109577" w14:textId="77777777" w:rsidR="00ED4E7E" w:rsidRPr="006A0630" w:rsidRDefault="00ED4E7E" w:rsidP="00577890">
            <w:pPr>
              <w:rPr>
                <w:rFonts w:cstheme="minorHAnsi"/>
                <w:b/>
                <w:bCs/>
                <w:lang w:val="es-CO"/>
              </w:rPr>
            </w:pPr>
          </w:p>
          <w:p w14:paraId="0D867DA9" w14:textId="77777777" w:rsidR="00ED4E7E" w:rsidRPr="006A0630" w:rsidRDefault="00ED4E7E" w:rsidP="00577890">
            <w:pPr>
              <w:rPr>
                <w:rFonts w:cstheme="minorHAnsi"/>
                <w:b/>
                <w:bCs/>
                <w:lang w:val="es-CO"/>
              </w:rPr>
            </w:pPr>
          </w:p>
          <w:p w14:paraId="04C1770C" w14:textId="77777777" w:rsidR="00ED4E7E" w:rsidRPr="006A0630" w:rsidRDefault="00ED4E7E" w:rsidP="00577890">
            <w:pPr>
              <w:rPr>
                <w:rFonts w:cstheme="minorHAnsi"/>
                <w:b/>
                <w:bCs/>
                <w:lang w:val="es-CO"/>
              </w:rPr>
            </w:pPr>
          </w:p>
          <w:p w14:paraId="6AC9C3DB" w14:textId="0BAA3369" w:rsidR="00ED4E7E" w:rsidRPr="006A0630" w:rsidRDefault="00ED4E7E" w:rsidP="00577890">
            <w:pPr>
              <w:rPr>
                <w:rFonts w:cstheme="minorHAnsi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B8FE2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1. Ojos</w:t>
            </w:r>
          </w:p>
          <w:p w14:paraId="0E7BBD87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br/>
            </w:r>
          </w:p>
          <w:p w14:paraId="3C229126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2. Cuello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50D3A" w14:textId="77777777" w:rsidR="005E2FA5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Parpadeo continuo por 5 segundos seguido de mirada a los 4 puntos cardinales.</w:t>
            </w:r>
          </w:p>
          <w:p w14:paraId="152745FC" w14:textId="6B885580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Luego, flexión lateral del cuello asistida con la mano hacia cada hombro (5 segundos por lado).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48C98" w14:textId="34E3DE8D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Aliviar la fatiga visual (</w:t>
            </w:r>
            <w:r w:rsidR="005E2FA5" w:rsidRPr="006A0630">
              <w:rPr>
                <w:rFonts w:cstheme="minorHAnsi"/>
                <w:lang w:val="es-CO"/>
              </w:rPr>
              <w:t>astenopia</w:t>
            </w:r>
            <w:r w:rsidRPr="006A0630">
              <w:rPr>
                <w:rFonts w:cstheme="minorHAnsi"/>
                <w:lang w:val="es-CO"/>
              </w:rPr>
              <w:t>) y liberar tensión acumulada en el trapecio y columna cervical.</w:t>
            </w:r>
          </w:p>
        </w:tc>
      </w:tr>
      <w:tr w:rsidR="00577890" w:rsidRPr="006A0630" w14:paraId="3D3CB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102EB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b/>
                <w:bCs/>
                <w:lang w:val="es-CO"/>
              </w:rPr>
              <w:lastRenderedPageBreak/>
              <w:t>0:35 - 1:05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B016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3. Hombros</w:t>
            </w:r>
          </w:p>
          <w:p w14:paraId="7C85171A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br/>
            </w:r>
          </w:p>
          <w:p w14:paraId="18D43BDB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4. Brazos</w:t>
            </w:r>
          </w:p>
          <w:p w14:paraId="2108FA55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br/>
            </w:r>
          </w:p>
          <w:p w14:paraId="70784413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5. Manos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9ADB9" w14:textId="77777777" w:rsidR="003457CF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Rotación articular de hombros hacia atrás y adelante.</w:t>
            </w:r>
          </w:p>
          <w:p w14:paraId="50D88BC1" w14:textId="0632295E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Extensión frontal de brazos con flexión dorsal de la muñeca (estiramiento de flexores de los dedos) manteniendo por 7 segundos cada brazo.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658E3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Prevención del Síndrome del Túnel Carpiano y tendinitis asociadas al uso repetitivo del teclado.</w:t>
            </w:r>
          </w:p>
        </w:tc>
      </w:tr>
      <w:tr w:rsidR="00577890" w:rsidRPr="006A0630" w14:paraId="35F7A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EDB5E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b/>
                <w:bCs/>
                <w:lang w:val="es-CO"/>
              </w:rPr>
              <w:t>1:05 - 1:35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28A4E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6. Espalda</w:t>
            </w:r>
          </w:p>
          <w:p w14:paraId="70408E0D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br/>
            </w:r>
          </w:p>
          <w:p w14:paraId="77968001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7. Cadera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3A036" w14:textId="77777777" w:rsidR="00BA2DCC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Entrelazar los dedos de las manos, estirar brazos hacia el frente y empujar la columna hacia atrás curvándola levemente.</w:t>
            </w:r>
          </w:p>
          <w:p w14:paraId="63B9AD28" w14:textId="07FF4415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Luego, colocar manos en la cintura y realizar círculos suaves (5 segundos por lado).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4CF0A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Descompresión de los discos intervertebrales debido a la postura sentada estática.</w:t>
            </w:r>
          </w:p>
        </w:tc>
      </w:tr>
      <w:tr w:rsidR="00577890" w:rsidRPr="006A0630" w14:paraId="4120A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3C02A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b/>
                <w:bCs/>
                <w:lang w:val="es-CO"/>
              </w:rPr>
              <w:t>1:35 - 2:15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FFAC0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8. Piernas</w:t>
            </w:r>
          </w:p>
          <w:p w14:paraId="77E37C60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br/>
            </w:r>
          </w:p>
          <w:p w14:paraId="6D276CE7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9. Pies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F5B40" w14:textId="77777777" w:rsidR="006B0C51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Flexión de cadera elevando la rodilla hacia el pecho, sosteniéndola con ambas manos (5 segundos por pierna).</w:t>
            </w:r>
          </w:p>
          <w:p w14:paraId="1C89C7D7" w14:textId="42B3DCED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Finalizar elevando ligeramente el pie para realizar rotación circunducción del tobillo (pies).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44890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Reactivación del retorno venoso y de la circulación periférica en el tren inferior.</w:t>
            </w:r>
          </w:p>
        </w:tc>
      </w:tr>
      <w:tr w:rsidR="00577890" w:rsidRPr="006A0630" w14:paraId="3F7440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DAEC6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b/>
                <w:bCs/>
                <w:lang w:val="es-CO"/>
              </w:rPr>
              <w:lastRenderedPageBreak/>
              <w:t>2:15 - 2:45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6A4EA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b/>
                <w:bCs/>
                <w:lang w:val="es-CO"/>
              </w:rPr>
              <w:t>Conclusión y Cierre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18DB0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Regreso a la postura anatómica neutra y breve intervención explicando la importancia de realizar estos ciclos dos veces al día.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542E5" w14:textId="77777777" w:rsidR="00577890" w:rsidRPr="006A0630" w:rsidRDefault="00577890" w:rsidP="00577890">
            <w:pPr>
              <w:rPr>
                <w:rFonts w:cstheme="minorHAnsi"/>
                <w:lang w:val="es-CO"/>
              </w:rPr>
            </w:pPr>
            <w:r w:rsidRPr="006A0630">
              <w:rPr>
                <w:rFonts w:cstheme="minorHAnsi"/>
                <w:lang w:val="es-CO"/>
              </w:rPr>
              <w:t>Conclusión técnica del video de sustentación.</w:t>
            </w:r>
          </w:p>
        </w:tc>
      </w:tr>
    </w:tbl>
    <w:p w14:paraId="1BFDB2BD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6335E73D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434D4320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7081D7BE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3881EC95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0A3C5F6B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37912D42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36500EFA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22BB12E2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36203305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46FD9038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79263597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1C4CD622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35E2C477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799E5352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7E8FD778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04E129E6" w14:textId="77777777" w:rsidR="004A227D" w:rsidRPr="006A0630" w:rsidRDefault="004A227D" w:rsidP="004A227D">
      <w:pPr>
        <w:rPr>
          <w:rFonts w:cstheme="minorHAnsi"/>
          <w:lang w:val="es-CO"/>
        </w:rPr>
      </w:pPr>
    </w:p>
    <w:p w14:paraId="26DB002E" w14:textId="77777777" w:rsidR="00A143FE" w:rsidRDefault="00A143FE" w:rsidP="004A227D">
      <w:pPr>
        <w:rPr>
          <w:rFonts w:cstheme="minorHAnsi"/>
          <w:lang w:val="es-CO"/>
        </w:rPr>
      </w:pPr>
    </w:p>
    <w:p w14:paraId="1059A7F1" w14:textId="77777777" w:rsidR="002A17C2" w:rsidRPr="006A0630" w:rsidRDefault="002A17C2" w:rsidP="004A227D">
      <w:pPr>
        <w:rPr>
          <w:rFonts w:cstheme="minorHAnsi"/>
          <w:lang w:val="es-CO"/>
        </w:rPr>
      </w:pPr>
    </w:p>
    <w:p w14:paraId="357833F5" w14:textId="49A04210" w:rsidR="00683045" w:rsidRPr="006A0630" w:rsidRDefault="00683045" w:rsidP="00683045">
      <w:pPr>
        <w:pStyle w:val="Ttulo2"/>
        <w:jc w:val="center"/>
        <w:rPr>
          <w:rFonts w:asciiTheme="minorHAnsi" w:hAnsiTheme="minorHAnsi" w:cstheme="minorHAnsi"/>
          <w:b/>
          <w:bCs/>
          <w:color w:val="auto"/>
          <w:lang w:val="es-CO"/>
        </w:rPr>
      </w:pPr>
      <w:r w:rsidRPr="006A0630">
        <w:rPr>
          <w:rFonts w:asciiTheme="minorHAnsi" w:hAnsiTheme="minorHAnsi" w:cstheme="minorHAnsi"/>
          <w:b/>
          <w:bCs/>
          <w:color w:val="auto"/>
          <w:lang w:val="es-CO"/>
        </w:rPr>
        <w:lastRenderedPageBreak/>
        <w:t>CONCLUSIONES</w:t>
      </w:r>
    </w:p>
    <w:p w14:paraId="58CAF300" w14:textId="77777777" w:rsidR="00683045" w:rsidRPr="006A0630" w:rsidRDefault="00683045" w:rsidP="00683045">
      <w:pPr>
        <w:rPr>
          <w:rFonts w:cstheme="minorHAnsi"/>
          <w:lang w:val="es-CO"/>
        </w:rPr>
      </w:pPr>
    </w:p>
    <w:p w14:paraId="317FBF77" w14:textId="77777777" w:rsidR="00025146" w:rsidRPr="006A0630" w:rsidRDefault="00683045" w:rsidP="00683045">
      <w:pPr>
        <w:numPr>
          <w:ilvl w:val="0"/>
          <w:numId w:val="5"/>
        </w:num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La higiene postural no constituye un elemento aislado de bienestar superficial, sino un factor de rendimiento directamente proporcional a la calidad del software producido.</w:t>
      </w:r>
    </w:p>
    <w:p w14:paraId="5F6E01F6" w14:textId="394BF195" w:rsidR="00683045" w:rsidRPr="006A0630" w:rsidRDefault="00683045" w:rsidP="00025146">
      <w:pPr>
        <w:ind w:left="720"/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Un desarrollador libre de fatiga muscular posee un mayor índice de concentración, optimiza sus procesos de resolución de problemas lógicos y reduce drásticamente el margen de error en la codificación y el análisis de sistemas.</w:t>
      </w:r>
    </w:p>
    <w:p w14:paraId="27096248" w14:textId="77777777" w:rsidR="00F237D9" w:rsidRPr="006A0630" w:rsidRDefault="00683045" w:rsidP="00683045">
      <w:pPr>
        <w:numPr>
          <w:ilvl w:val="0"/>
          <w:numId w:val="5"/>
        </w:num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 xml:space="preserve">La implementación sistemática y disciplinada de un plan de pausas activas interrumpe los ciclos de carga física estática acumulada. </w:t>
      </w:r>
    </w:p>
    <w:p w14:paraId="1A4E30E8" w14:textId="06AF2A82" w:rsidR="00683045" w:rsidRPr="006A0630" w:rsidRDefault="00683045" w:rsidP="00F237D9">
      <w:pPr>
        <w:ind w:left="720"/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 xml:space="preserve">Esto mitiga de forma efectiva los </w:t>
      </w:r>
      <w:r w:rsidR="00F237D9" w:rsidRPr="006A0630">
        <w:rPr>
          <w:rFonts w:cstheme="minorHAnsi"/>
          <w:lang w:val="es-CO"/>
        </w:rPr>
        <w:t>micro traumas</w:t>
      </w:r>
      <w:r w:rsidRPr="006A0630">
        <w:rPr>
          <w:rFonts w:cstheme="minorHAnsi"/>
          <w:lang w:val="es-CO"/>
        </w:rPr>
        <w:t xml:space="preserve"> repetitivos en articulaciones y tendones, previniendo patologías laborales crónicas del sistema osteomuscular (como el síndrome del túnel carpiano) y asegurando la longevidad y sostenibilidad de la salud del tecnólogo.</w:t>
      </w:r>
    </w:p>
    <w:p w14:paraId="6B9AA2F4" w14:textId="77777777" w:rsidR="00064AE2" w:rsidRPr="006A0630" w:rsidRDefault="00683045" w:rsidP="00683045">
      <w:pPr>
        <w:numPr>
          <w:ilvl w:val="0"/>
          <w:numId w:val="5"/>
        </w:num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El diseño ergonómico del puesto de trabajo, combinado con hábitos saludables de pausas activas, mitiga el impacto negativo del sedentarismo prolongado y reactiva la circulación periférica.</w:t>
      </w:r>
    </w:p>
    <w:p w14:paraId="44B6F565" w14:textId="625ED83E" w:rsidR="00683045" w:rsidRPr="006A0630" w:rsidRDefault="00683045" w:rsidP="00064AE2">
      <w:pPr>
        <w:ind w:left="720"/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>Esto no solo eleva la productividad individual dentro de la célula de desarrollo, sino que reduce el ausentismo laboral e incrementa la satisfacción en el desempeño de la función productiva.</w:t>
      </w:r>
    </w:p>
    <w:p w14:paraId="2EF9B929" w14:textId="77777777" w:rsidR="006D1BF0" w:rsidRPr="006A0630" w:rsidRDefault="006D1BF0">
      <w:pPr>
        <w:rPr>
          <w:rFonts w:cstheme="minorHAnsi"/>
        </w:rPr>
      </w:pPr>
    </w:p>
    <w:p w14:paraId="5A41616C" w14:textId="77777777" w:rsidR="00064AE2" w:rsidRPr="006A0630" w:rsidRDefault="00064AE2">
      <w:pPr>
        <w:rPr>
          <w:rFonts w:cstheme="minorHAnsi"/>
        </w:rPr>
      </w:pPr>
    </w:p>
    <w:p w14:paraId="446E3DE0" w14:textId="77777777" w:rsidR="00064AE2" w:rsidRPr="006A0630" w:rsidRDefault="00064AE2">
      <w:pPr>
        <w:rPr>
          <w:rFonts w:cstheme="minorHAnsi"/>
        </w:rPr>
      </w:pPr>
    </w:p>
    <w:p w14:paraId="01AC99A9" w14:textId="77777777" w:rsidR="00064AE2" w:rsidRPr="006A0630" w:rsidRDefault="00064AE2">
      <w:pPr>
        <w:rPr>
          <w:rFonts w:cstheme="minorHAnsi"/>
        </w:rPr>
      </w:pPr>
    </w:p>
    <w:p w14:paraId="03A31170" w14:textId="77777777" w:rsidR="00064AE2" w:rsidRPr="006A0630" w:rsidRDefault="00064AE2">
      <w:pPr>
        <w:rPr>
          <w:rFonts w:cstheme="minorHAnsi"/>
        </w:rPr>
      </w:pPr>
    </w:p>
    <w:p w14:paraId="4184906A" w14:textId="77777777" w:rsidR="00064AE2" w:rsidRPr="006A0630" w:rsidRDefault="00064AE2">
      <w:pPr>
        <w:rPr>
          <w:rFonts w:cstheme="minorHAnsi"/>
        </w:rPr>
      </w:pPr>
    </w:p>
    <w:p w14:paraId="77F442B5" w14:textId="77777777" w:rsidR="00064AE2" w:rsidRPr="006A0630" w:rsidRDefault="00064AE2">
      <w:pPr>
        <w:rPr>
          <w:rFonts w:cstheme="minorHAnsi"/>
        </w:rPr>
      </w:pPr>
    </w:p>
    <w:p w14:paraId="2E622371" w14:textId="77777777" w:rsidR="00064AE2" w:rsidRPr="006A0630" w:rsidRDefault="00064AE2">
      <w:pPr>
        <w:rPr>
          <w:rFonts w:cstheme="minorHAnsi"/>
        </w:rPr>
      </w:pPr>
    </w:p>
    <w:p w14:paraId="5BFFA639" w14:textId="77777777" w:rsidR="00064AE2" w:rsidRPr="006A0630" w:rsidRDefault="00064AE2">
      <w:pPr>
        <w:rPr>
          <w:rFonts w:cstheme="minorHAnsi"/>
        </w:rPr>
      </w:pPr>
    </w:p>
    <w:p w14:paraId="75539082" w14:textId="77777777" w:rsidR="00064AE2" w:rsidRPr="006A0630" w:rsidRDefault="00064AE2">
      <w:pPr>
        <w:rPr>
          <w:rFonts w:cstheme="minorHAnsi"/>
        </w:rPr>
      </w:pPr>
    </w:p>
    <w:p w14:paraId="04AE3407" w14:textId="77777777" w:rsidR="00064AE2" w:rsidRPr="006A0630" w:rsidRDefault="00064AE2">
      <w:pPr>
        <w:rPr>
          <w:rFonts w:cstheme="minorHAnsi"/>
        </w:rPr>
      </w:pPr>
    </w:p>
    <w:p w14:paraId="4D72A5FA" w14:textId="77777777" w:rsidR="00A143FE" w:rsidRDefault="00A143FE">
      <w:pPr>
        <w:rPr>
          <w:rFonts w:cstheme="minorHAnsi"/>
        </w:rPr>
      </w:pPr>
    </w:p>
    <w:p w14:paraId="2774A305" w14:textId="77777777" w:rsidR="002A17C2" w:rsidRPr="006A0630" w:rsidRDefault="002A17C2">
      <w:pPr>
        <w:rPr>
          <w:rFonts w:cstheme="minorHAnsi"/>
        </w:rPr>
      </w:pPr>
    </w:p>
    <w:p w14:paraId="0D7F76AC" w14:textId="77777777" w:rsidR="00FB66EB" w:rsidRPr="006A0630" w:rsidRDefault="00FB66EB" w:rsidP="006A0630">
      <w:pPr>
        <w:pStyle w:val="Ttulo2"/>
        <w:jc w:val="center"/>
        <w:rPr>
          <w:rFonts w:asciiTheme="minorHAnsi" w:hAnsiTheme="minorHAnsi" w:cstheme="minorHAnsi"/>
          <w:b/>
          <w:bCs/>
          <w:color w:val="auto"/>
          <w:lang w:val="es-CO"/>
        </w:rPr>
      </w:pPr>
      <w:r w:rsidRPr="006A0630">
        <w:rPr>
          <w:rFonts w:asciiTheme="minorHAnsi" w:hAnsiTheme="minorHAnsi" w:cstheme="minorHAnsi"/>
          <w:b/>
          <w:bCs/>
          <w:color w:val="auto"/>
          <w:lang w:val="es-CO"/>
        </w:rPr>
        <w:lastRenderedPageBreak/>
        <w:t>BIBLIOGRAFÍA</w:t>
      </w:r>
    </w:p>
    <w:p w14:paraId="090FCC2C" w14:textId="77777777" w:rsidR="006A0630" w:rsidRPr="006A0630" w:rsidRDefault="006A0630" w:rsidP="006A0630">
      <w:pPr>
        <w:rPr>
          <w:rFonts w:cstheme="minorHAnsi"/>
          <w:lang w:val="es-CO"/>
        </w:rPr>
      </w:pPr>
    </w:p>
    <w:p w14:paraId="6D0B1640" w14:textId="77777777" w:rsidR="00FB66EB" w:rsidRPr="006A0630" w:rsidRDefault="00FB66EB" w:rsidP="00FB66EB">
      <w:pPr>
        <w:numPr>
          <w:ilvl w:val="0"/>
          <w:numId w:val="6"/>
        </w:num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 xml:space="preserve">Organización Mundial de la Salud (OMS). (2020). </w:t>
      </w:r>
      <w:r w:rsidRPr="006A0630">
        <w:rPr>
          <w:rFonts w:cstheme="minorHAnsi"/>
          <w:i/>
          <w:iCs/>
          <w:lang w:val="es-CO"/>
        </w:rPr>
        <w:t>Directrices de la OMS sobre actividad física y hábitos sedentarios</w:t>
      </w:r>
      <w:r w:rsidRPr="006A0630">
        <w:rPr>
          <w:rFonts w:cstheme="minorHAnsi"/>
          <w:lang w:val="es-CO"/>
        </w:rPr>
        <w:t>. Ginebra: OMS.</w:t>
      </w:r>
    </w:p>
    <w:p w14:paraId="5D61845E" w14:textId="77777777" w:rsidR="00FB66EB" w:rsidRPr="006A0630" w:rsidRDefault="00FB66EB" w:rsidP="00FB66EB">
      <w:pPr>
        <w:numPr>
          <w:ilvl w:val="0"/>
          <w:numId w:val="6"/>
        </w:numPr>
        <w:rPr>
          <w:rFonts w:cstheme="minorHAnsi"/>
          <w:lang w:val="es-CO"/>
        </w:rPr>
      </w:pPr>
      <w:r w:rsidRPr="006A0630">
        <w:rPr>
          <w:rFonts w:cstheme="minorHAnsi"/>
          <w:lang w:val="es-CO"/>
        </w:rPr>
        <w:t xml:space="preserve">International </w:t>
      </w:r>
      <w:proofErr w:type="spellStart"/>
      <w:r w:rsidRPr="006A0630">
        <w:rPr>
          <w:rFonts w:cstheme="minorHAnsi"/>
          <w:lang w:val="es-CO"/>
        </w:rPr>
        <w:t>Ergonomics</w:t>
      </w:r>
      <w:proofErr w:type="spellEnd"/>
      <w:r w:rsidRPr="006A0630">
        <w:rPr>
          <w:rFonts w:cstheme="minorHAnsi"/>
          <w:lang w:val="es-CO"/>
        </w:rPr>
        <w:t xml:space="preserve"> </w:t>
      </w:r>
      <w:proofErr w:type="spellStart"/>
      <w:r w:rsidRPr="006A0630">
        <w:rPr>
          <w:rFonts w:cstheme="minorHAnsi"/>
          <w:lang w:val="es-CO"/>
        </w:rPr>
        <w:t>Association</w:t>
      </w:r>
      <w:proofErr w:type="spellEnd"/>
      <w:r w:rsidRPr="006A0630">
        <w:rPr>
          <w:rFonts w:cstheme="minorHAnsi"/>
          <w:lang w:val="es-CO"/>
        </w:rPr>
        <w:t xml:space="preserve"> (IEA). (2022). </w:t>
      </w:r>
      <w:r w:rsidRPr="006A0630">
        <w:rPr>
          <w:rFonts w:cstheme="minorHAnsi"/>
          <w:i/>
          <w:iCs/>
          <w:lang w:val="es-CO"/>
        </w:rPr>
        <w:t>Estándares internacionales de ergonomía para estaciones de trabajo con pantallas de visualización (ISO 9241)</w:t>
      </w:r>
      <w:r w:rsidRPr="006A0630">
        <w:rPr>
          <w:rFonts w:cstheme="minorHAnsi"/>
          <w:lang w:val="es-CO"/>
        </w:rPr>
        <w:t>. Ginebra: IEA.</w:t>
      </w:r>
    </w:p>
    <w:p w14:paraId="7FF711D5" w14:textId="77777777" w:rsidR="00064AE2" w:rsidRPr="006A0630" w:rsidRDefault="00064AE2">
      <w:pPr>
        <w:rPr>
          <w:rFonts w:cstheme="minorHAnsi"/>
        </w:rPr>
      </w:pPr>
    </w:p>
    <w:sectPr w:rsidR="00064AE2" w:rsidRPr="006A06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16C7"/>
    <w:multiLevelType w:val="multilevel"/>
    <w:tmpl w:val="1DB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43A86"/>
    <w:multiLevelType w:val="multilevel"/>
    <w:tmpl w:val="C57A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A3478"/>
    <w:multiLevelType w:val="multilevel"/>
    <w:tmpl w:val="30F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31785"/>
    <w:multiLevelType w:val="multilevel"/>
    <w:tmpl w:val="042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6561D"/>
    <w:multiLevelType w:val="multilevel"/>
    <w:tmpl w:val="CEC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F63D8"/>
    <w:multiLevelType w:val="multilevel"/>
    <w:tmpl w:val="4FE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818361">
    <w:abstractNumId w:val="3"/>
  </w:num>
  <w:num w:numId="2" w16cid:durableId="1756824781">
    <w:abstractNumId w:val="4"/>
  </w:num>
  <w:num w:numId="3" w16cid:durableId="398477976">
    <w:abstractNumId w:val="5"/>
  </w:num>
  <w:num w:numId="4" w16cid:durableId="605429795">
    <w:abstractNumId w:val="2"/>
  </w:num>
  <w:num w:numId="5" w16cid:durableId="1940135952">
    <w:abstractNumId w:val="0"/>
  </w:num>
  <w:num w:numId="6" w16cid:durableId="1477869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8EA6D3"/>
    <w:rsid w:val="00004F88"/>
    <w:rsid w:val="00022CED"/>
    <w:rsid w:val="00025146"/>
    <w:rsid w:val="00051F36"/>
    <w:rsid w:val="00064AE2"/>
    <w:rsid w:val="000C17B2"/>
    <w:rsid w:val="000E3117"/>
    <w:rsid w:val="000F236B"/>
    <w:rsid w:val="00103E6C"/>
    <w:rsid w:val="00110098"/>
    <w:rsid w:val="0011312A"/>
    <w:rsid w:val="001626FE"/>
    <w:rsid w:val="00182E20"/>
    <w:rsid w:val="001916E1"/>
    <w:rsid w:val="001A6731"/>
    <w:rsid w:val="001B4837"/>
    <w:rsid w:val="001E23A7"/>
    <w:rsid w:val="00222388"/>
    <w:rsid w:val="00265034"/>
    <w:rsid w:val="00266271"/>
    <w:rsid w:val="00272512"/>
    <w:rsid w:val="00272F50"/>
    <w:rsid w:val="00287C72"/>
    <w:rsid w:val="00292B3C"/>
    <w:rsid w:val="002A17C2"/>
    <w:rsid w:val="002B0C6E"/>
    <w:rsid w:val="002B747E"/>
    <w:rsid w:val="002E79A9"/>
    <w:rsid w:val="0031412A"/>
    <w:rsid w:val="003457CF"/>
    <w:rsid w:val="00383082"/>
    <w:rsid w:val="003B351A"/>
    <w:rsid w:val="004253F4"/>
    <w:rsid w:val="004671B6"/>
    <w:rsid w:val="00485FFD"/>
    <w:rsid w:val="004A227D"/>
    <w:rsid w:val="004A2F87"/>
    <w:rsid w:val="004F3EBF"/>
    <w:rsid w:val="005314FE"/>
    <w:rsid w:val="005330A1"/>
    <w:rsid w:val="00533567"/>
    <w:rsid w:val="005538F8"/>
    <w:rsid w:val="00577890"/>
    <w:rsid w:val="005B642D"/>
    <w:rsid w:val="005B7E92"/>
    <w:rsid w:val="005E2FA5"/>
    <w:rsid w:val="006502F9"/>
    <w:rsid w:val="00651762"/>
    <w:rsid w:val="00653B67"/>
    <w:rsid w:val="00671535"/>
    <w:rsid w:val="00683045"/>
    <w:rsid w:val="006875D7"/>
    <w:rsid w:val="006A0630"/>
    <w:rsid w:val="006B0C51"/>
    <w:rsid w:val="006D1BF0"/>
    <w:rsid w:val="00721DAD"/>
    <w:rsid w:val="00722980"/>
    <w:rsid w:val="00723B37"/>
    <w:rsid w:val="00761BB4"/>
    <w:rsid w:val="00774ABA"/>
    <w:rsid w:val="00777D53"/>
    <w:rsid w:val="00787B42"/>
    <w:rsid w:val="007D238F"/>
    <w:rsid w:val="007D2E6A"/>
    <w:rsid w:val="007D3A62"/>
    <w:rsid w:val="007E6F23"/>
    <w:rsid w:val="00847563"/>
    <w:rsid w:val="00853B57"/>
    <w:rsid w:val="00934F49"/>
    <w:rsid w:val="00937184"/>
    <w:rsid w:val="009423B3"/>
    <w:rsid w:val="00970DA5"/>
    <w:rsid w:val="00973A34"/>
    <w:rsid w:val="00974606"/>
    <w:rsid w:val="009747E8"/>
    <w:rsid w:val="009767EA"/>
    <w:rsid w:val="00976BE0"/>
    <w:rsid w:val="00993565"/>
    <w:rsid w:val="009A30B7"/>
    <w:rsid w:val="009A5CAA"/>
    <w:rsid w:val="009C1A32"/>
    <w:rsid w:val="009D391B"/>
    <w:rsid w:val="00A143FE"/>
    <w:rsid w:val="00A1532C"/>
    <w:rsid w:val="00A250F6"/>
    <w:rsid w:val="00A47C09"/>
    <w:rsid w:val="00A80DB3"/>
    <w:rsid w:val="00A90970"/>
    <w:rsid w:val="00AC0AA3"/>
    <w:rsid w:val="00AC71D1"/>
    <w:rsid w:val="00AD56BB"/>
    <w:rsid w:val="00AF5B7A"/>
    <w:rsid w:val="00B07EB3"/>
    <w:rsid w:val="00B156F1"/>
    <w:rsid w:val="00B50AC2"/>
    <w:rsid w:val="00BA2DCC"/>
    <w:rsid w:val="00BB35DA"/>
    <w:rsid w:val="00BE5462"/>
    <w:rsid w:val="00C030E0"/>
    <w:rsid w:val="00C215A2"/>
    <w:rsid w:val="00C30E21"/>
    <w:rsid w:val="00C501EE"/>
    <w:rsid w:val="00C91F9F"/>
    <w:rsid w:val="00CA516F"/>
    <w:rsid w:val="00CC79E7"/>
    <w:rsid w:val="00CD2B4A"/>
    <w:rsid w:val="00D11FE1"/>
    <w:rsid w:val="00D211E3"/>
    <w:rsid w:val="00D25156"/>
    <w:rsid w:val="00D27DBE"/>
    <w:rsid w:val="00D34978"/>
    <w:rsid w:val="00D44A97"/>
    <w:rsid w:val="00D72D3E"/>
    <w:rsid w:val="00D75345"/>
    <w:rsid w:val="00D933CB"/>
    <w:rsid w:val="00DC7FA0"/>
    <w:rsid w:val="00DD5975"/>
    <w:rsid w:val="00E17BFE"/>
    <w:rsid w:val="00E46423"/>
    <w:rsid w:val="00E921AE"/>
    <w:rsid w:val="00E96D49"/>
    <w:rsid w:val="00ED4E7E"/>
    <w:rsid w:val="00F043D5"/>
    <w:rsid w:val="00F170C3"/>
    <w:rsid w:val="00F22CD6"/>
    <w:rsid w:val="00F22E61"/>
    <w:rsid w:val="00F237D9"/>
    <w:rsid w:val="00F65C8E"/>
    <w:rsid w:val="00F707F4"/>
    <w:rsid w:val="00F76E07"/>
    <w:rsid w:val="00F86318"/>
    <w:rsid w:val="00FA6BE7"/>
    <w:rsid w:val="00FB66EB"/>
    <w:rsid w:val="00FD5F5A"/>
    <w:rsid w:val="00FF77A0"/>
    <w:rsid w:val="058EA6D3"/>
    <w:rsid w:val="5057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EBC95"/>
  <w15:chartTrackingRefBased/>
  <w15:docId w15:val="{2A1472B9-AB43-4D0E-AD88-FD3F482C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0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7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17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5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17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170C3"/>
    <w:rPr>
      <w:rFonts w:eastAsiaTheme="majorEastAsia" w:cstheme="majorBidi"/>
      <w:i/>
      <w:iCs/>
      <w:color w:val="0F4761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E921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2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UIZB4qe5Y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9</Pages>
  <Words>1162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MEYER ROMERO</dc:creator>
  <cp:keywords/>
  <dc:description/>
  <cp:lastModifiedBy>DAVID ALEJANDRO MEYER ROMERO</cp:lastModifiedBy>
  <cp:revision>149</cp:revision>
  <dcterms:created xsi:type="dcterms:W3CDTF">2026-06-25T14:27:00Z</dcterms:created>
  <dcterms:modified xsi:type="dcterms:W3CDTF">2026-06-25T19:58:00Z</dcterms:modified>
</cp:coreProperties>
</file>