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EB4E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028C4288" w14:textId="27DFBE7B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54FBB795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4978F75A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24018FFE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5CDA82B8" w14:textId="27E207DF" w:rsidR="00073B5E" w:rsidRPr="000A6A3E" w:rsidRDefault="00073B5E" w:rsidP="00073B5E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t>Informe sobre Trabajo Decente, Ciudadanía Laboral, Derechos Individuales y Colectivos en el Trabajo</w:t>
      </w:r>
    </w:p>
    <w:p w14:paraId="5F4C90EC" w14:textId="77777777" w:rsidR="00073B5E" w:rsidRPr="000A6A3E" w:rsidRDefault="00073B5E" w:rsidP="00073B5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5D5AB2E" w14:textId="489D00D7" w:rsidR="00073B5E" w:rsidRPr="000A6A3E" w:rsidRDefault="00073B5E" w:rsidP="00073B5E">
      <w:pPr>
        <w:jc w:val="center"/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t>Meyer Romero, David Alejandro</w:t>
      </w:r>
    </w:p>
    <w:p w14:paraId="25F4CD16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06B570B8" w14:textId="73B5F13E" w:rsidR="00073B5E" w:rsidRPr="000A6A3E" w:rsidRDefault="00073B5E" w:rsidP="00073B5E">
      <w:pPr>
        <w:jc w:val="center"/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Servicio Nacional de Aprendizaje – SENA</w:t>
      </w:r>
    </w:p>
    <w:p w14:paraId="5110634F" w14:textId="77777777" w:rsidR="00073B5E" w:rsidRPr="000A6A3E" w:rsidRDefault="00073B5E" w:rsidP="00073B5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9B2012E" w14:textId="434E24AE" w:rsidR="00073B5E" w:rsidRPr="000A6A3E" w:rsidRDefault="00073B5E" w:rsidP="00073B5E">
      <w:pPr>
        <w:jc w:val="center"/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Análisis y Desarrollo de Software (ADSO) – Ficha 3336113</w:t>
      </w:r>
    </w:p>
    <w:p w14:paraId="1E8EA620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1C79777B" w14:textId="07C7FF02" w:rsidR="00073B5E" w:rsidRPr="000A6A3E" w:rsidRDefault="00073B5E" w:rsidP="00073B5E">
      <w:pPr>
        <w:jc w:val="center"/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13 de septiembre de 2026</w:t>
      </w:r>
    </w:p>
    <w:p w14:paraId="6F9C44CF" w14:textId="77777777" w:rsidR="00483341" w:rsidRPr="000A6A3E" w:rsidRDefault="00483341">
      <w:pPr>
        <w:rPr>
          <w:rFonts w:ascii="Times New Roman" w:hAnsi="Times New Roman" w:cs="Times New Roman"/>
          <w:color w:val="000000" w:themeColor="text1"/>
        </w:rPr>
      </w:pPr>
    </w:p>
    <w:p w14:paraId="2280F39D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72543030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288ACD86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154749F9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376B7652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134F3FA5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322EA414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79880FD3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29FD0D76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20F6235F" w14:textId="77777777" w:rsidR="00073B5E" w:rsidRPr="000A6A3E" w:rsidRDefault="00073B5E" w:rsidP="00073B5E">
      <w:pPr>
        <w:pStyle w:val="Ttulo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lastRenderedPageBreak/>
        <w:t>Introducción</w:t>
      </w:r>
    </w:p>
    <w:p w14:paraId="28D9FD41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1DFDDB9F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El concepto de trabajo ha evolucionado a lo largo de la historia, pasando de ser una mera actividad de subsistencia económica a constituirse como un pilar fundamental para el desarrollo del ser humano y el ejercicio pleno de sus derechos.</w:t>
      </w:r>
    </w:p>
    <w:p w14:paraId="778AFA50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En el contexto contemporáneo, el trabajo decente y digno no solo implica recibir un salario justo, sino también garantizar condiciones de seguridad, salud, equidad y protección social.</w:t>
      </w:r>
    </w:p>
    <w:p w14:paraId="1DB7BFF1" w14:textId="3F56947B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Dentro de este marco, el trabajador trasciende el ámbito operativo para consolidarse como un ser político y un ciudadano laboral con capacidad de incidir activamente en su entorno social y productivo.</w:t>
      </w:r>
    </w:p>
    <w:p w14:paraId="46B1E8D1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El ejercicio de la ciudadanía laboral exige la apropiación del marco normativo que ampara las relaciones de trabajo, tanto en el ámbito nacional como internacional.</w:t>
      </w:r>
    </w:p>
    <w:p w14:paraId="4E20932B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En Colombia, la Constitución Política de 1991 establece las bases constitucionales del trabajo como un derecho y un deber social, las cuales se complementan con el Código Sustantivo del Trabajo y el Bloque de Constitucionalidad integrado por los Convenios de la Organización Internacional del Trabajo (OIT).</w:t>
      </w:r>
    </w:p>
    <w:p w14:paraId="2D4B3E85" w14:textId="7997C2FE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Instrumentos como la libertad sindical, el derecho a la huelga y la negociación colectiva se erigen como mecanismos esenciales para equilibrar las relaciones de poder entre empleadores y trabajadores, garantizando la justicia social en las empresas.</w:t>
      </w:r>
    </w:p>
    <w:p w14:paraId="63B0369F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El presente informe tiene como objetivo analizar los componentes clave de la ciudadanía laboral, los derechos individuales y los mecanismos de protección colectiva en el ámbito laboral colombiano.</w:t>
      </w:r>
    </w:p>
    <w:p w14:paraId="3AAA301C" w14:textId="4EC481B1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Para ello, la evidencia se estructura en tres secciones fundamentales: en primer lugar, se presenta la comprobación del afianzamiento de conceptos mediante la actividad interactiva institucional; en segundo lugar, se expone una infografía explicativa sobre el marco legal y los efectos del derecho a la huelga; y finalmente, se sintetizan las características, tipos y propósitos de la negociación colectiva a través de un mapa conceptual estructurado.</w:t>
      </w:r>
    </w:p>
    <w:p w14:paraId="799DDB19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104625A8" w14:textId="77777777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</w:p>
    <w:p w14:paraId="40CEA5DF" w14:textId="77777777" w:rsidR="00073B5E" w:rsidRDefault="00073B5E">
      <w:pPr>
        <w:rPr>
          <w:rFonts w:ascii="Times New Roman" w:hAnsi="Times New Roman" w:cs="Times New Roman"/>
          <w:color w:val="000000" w:themeColor="text1"/>
        </w:rPr>
      </w:pPr>
    </w:p>
    <w:p w14:paraId="43C8B3E0" w14:textId="77777777" w:rsidR="000A6A3E" w:rsidRDefault="000A6A3E">
      <w:pPr>
        <w:rPr>
          <w:rFonts w:ascii="Times New Roman" w:hAnsi="Times New Roman" w:cs="Times New Roman"/>
          <w:color w:val="000000" w:themeColor="text1"/>
        </w:rPr>
      </w:pPr>
    </w:p>
    <w:p w14:paraId="51898E66" w14:textId="77777777" w:rsidR="000A6A3E" w:rsidRPr="000A6A3E" w:rsidRDefault="000A6A3E">
      <w:pPr>
        <w:rPr>
          <w:rFonts w:ascii="Times New Roman" w:hAnsi="Times New Roman" w:cs="Times New Roman"/>
          <w:color w:val="000000" w:themeColor="text1"/>
        </w:rPr>
      </w:pPr>
    </w:p>
    <w:p w14:paraId="3AA5604D" w14:textId="77777777" w:rsidR="00073B5E" w:rsidRPr="000A6A3E" w:rsidRDefault="00073B5E" w:rsidP="00073B5E">
      <w:pPr>
        <w:pStyle w:val="Ttulo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lastRenderedPageBreak/>
        <w:t>Desarrollo del Taller</w:t>
      </w:r>
    </w:p>
    <w:p w14:paraId="1E4C9DEE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756C489B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En esta sección se presentan las evidencias conceptuales e ilustrativas desarrolladas sobre la ciudadanía laboral, el marco normativo de la huelga y la negociación colectiva en Colombia.</w:t>
      </w:r>
    </w:p>
    <w:p w14:paraId="562A4BF5" w14:textId="77777777" w:rsidR="00073B5E" w:rsidRPr="000A6A3E" w:rsidRDefault="00073B5E" w:rsidP="00073B5E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t>Sección A: Comprobación de Conocimientos (Actividad Interactiva)</w:t>
      </w:r>
    </w:p>
    <w:p w14:paraId="2FB0D457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Como primer componente, se realizó la actividad interactiva de la plataforma </w:t>
      </w:r>
      <w:proofErr w:type="spellStart"/>
      <w:r w:rsidRPr="000A6A3E">
        <w:rPr>
          <w:rFonts w:ascii="Times New Roman" w:hAnsi="Times New Roman" w:cs="Times New Roman"/>
          <w:color w:val="000000" w:themeColor="text1"/>
        </w:rPr>
        <w:t>Educaplay</w:t>
      </w:r>
      <w:proofErr w:type="spellEnd"/>
      <w:r w:rsidRPr="000A6A3E">
        <w:rPr>
          <w:rFonts w:ascii="Times New Roman" w:hAnsi="Times New Roman" w:cs="Times New Roman"/>
          <w:color w:val="000000" w:themeColor="text1"/>
        </w:rPr>
        <w:t xml:space="preserve"> para validar la apropiación de los conceptos sobre trabajo decente, ciudadanía laboral y derechos fundamentales.</w:t>
      </w:r>
    </w:p>
    <w:p w14:paraId="2DCEDB62" w14:textId="77777777" w:rsidR="00073B5E" w:rsidRPr="000A6A3E" w:rsidRDefault="00073B5E" w:rsidP="00073B5E">
      <w:pPr>
        <w:pStyle w:val="Ttulo4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t>Figura 1</w:t>
      </w:r>
    </w:p>
    <w:p w14:paraId="73C306E8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i/>
          <w:iCs/>
          <w:color w:val="000000" w:themeColor="text1"/>
        </w:rPr>
        <w:t>Resultados de la actividad interactiva sobre derechos fundamentales del trabajo</w:t>
      </w:r>
    </w:p>
    <w:p w14:paraId="55BF9B51" w14:textId="149433A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54E55BB" wp14:editId="765DA60C">
            <wp:extent cx="5608320" cy="3154680"/>
            <wp:effectExtent l="0" t="0" r="0" b="7620"/>
            <wp:docPr id="20514698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602E" w14:textId="2BC23D8A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i/>
          <w:iCs/>
          <w:color w:val="000000" w:themeColor="text1"/>
        </w:rPr>
        <w:t>Nota.</w:t>
      </w:r>
      <w:r w:rsidRPr="000A6A3E">
        <w:rPr>
          <w:rFonts w:ascii="Times New Roman" w:hAnsi="Times New Roman" w:cs="Times New Roman"/>
          <w:color w:val="000000" w:themeColor="text1"/>
        </w:rPr>
        <w:t xml:space="preserve"> Captura de pantalla que evidencia el 100 % de respuestas correctas y el registro del aprendiz en la esquina superior derecha de la plataforma </w:t>
      </w:r>
      <w:proofErr w:type="spellStart"/>
      <w:r w:rsidRPr="000A6A3E">
        <w:rPr>
          <w:rFonts w:ascii="Times New Roman" w:hAnsi="Times New Roman" w:cs="Times New Roman"/>
          <w:color w:val="000000" w:themeColor="text1"/>
        </w:rPr>
        <w:t>Educaplay</w:t>
      </w:r>
      <w:proofErr w:type="spellEnd"/>
      <w:r w:rsidRPr="000A6A3E">
        <w:rPr>
          <w:rFonts w:ascii="Times New Roman" w:hAnsi="Times New Roman" w:cs="Times New Roman"/>
          <w:color w:val="000000" w:themeColor="text1"/>
        </w:rPr>
        <w:t>.</w:t>
      </w:r>
    </w:p>
    <w:p w14:paraId="401DAB08" w14:textId="77777777" w:rsidR="00073B5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29FBB051" w14:textId="77777777" w:rsid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3E3DD2C9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7176AE5B" w14:textId="77777777" w:rsidR="00073B5E" w:rsidRPr="000A6A3E" w:rsidRDefault="00073B5E" w:rsidP="00073B5E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lastRenderedPageBreak/>
        <w:t>Sección B: Análisis del Derecho a la Huelga</w:t>
      </w:r>
    </w:p>
    <w:p w14:paraId="710BDD9B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A continuación, se sintetiza el marco jurídico, alcance, límites y efectos del derecho constitucional a la huelga en el contexto colombiano a través de un esquema visual representativo.</w:t>
      </w:r>
    </w:p>
    <w:p w14:paraId="6F416995" w14:textId="77777777" w:rsidR="00073B5E" w:rsidRPr="000A6A3E" w:rsidRDefault="00073B5E" w:rsidP="00073B5E">
      <w:pPr>
        <w:pStyle w:val="Ttulo4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t>Figura 2</w:t>
      </w:r>
    </w:p>
    <w:p w14:paraId="3B7C7715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i/>
          <w:iCs/>
          <w:color w:val="000000" w:themeColor="text1"/>
        </w:rPr>
        <w:t>Infografía del derecho a la huelga en Colombia</w:t>
      </w:r>
    </w:p>
    <w:p w14:paraId="573FFF72" w14:textId="6E87CFD4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D315B1F" wp14:editId="1E1A69E8">
            <wp:extent cx="2883123" cy="6111240"/>
            <wp:effectExtent l="0" t="0" r="0" b="3810"/>
            <wp:docPr id="19729212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802" cy="614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08C4" w14:textId="4D3722D4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i/>
          <w:iCs/>
          <w:color w:val="000000" w:themeColor="text1"/>
        </w:rPr>
        <w:t>Nota.</w:t>
      </w:r>
      <w:r w:rsidRPr="000A6A3E">
        <w:rPr>
          <w:rFonts w:ascii="Times New Roman" w:hAnsi="Times New Roman" w:cs="Times New Roman"/>
          <w:color w:val="000000" w:themeColor="text1"/>
        </w:rPr>
        <w:t xml:space="preserve"> Elaboración propia basada en la Constitución Política de Colombia (Art. 56), el Código Sustantivo del Trabajo (Arts. 429-451) y las directrices de la OIT.</w:t>
      </w:r>
    </w:p>
    <w:p w14:paraId="46CA0611" w14:textId="77777777" w:rsidR="00073B5E" w:rsidRPr="000A6A3E" w:rsidRDefault="00073B5E" w:rsidP="00073B5E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lastRenderedPageBreak/>
        <w:t>Sección C: La Negociación Colectiva</w:t>
      </w:r>
    </w:p>
    <w:p w14:paraId="4F57A33A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La negociación colectiva constituye el pilar para la solución pacífica de los conflictos de trabajo. A continuación, se presenta la estructura jerárquica que define sus objetivos, tipos y mecanismos de aplicación.</w:t>
      </w:r>
    </w:p>
    <w:p w14:paraId="701DB4DF" w14:textId="77777777" w:rsidR="00073B5E" w:rsidRPr="000A6A3E" w:rsidRDefault="00073B5E" w:rsidP="00073B5E">
      <w:pPr>
        <w:pStyle w:val="Ttulo4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t>Figura 3</w:t>
      </w:r>
    </w:p>
    <w:p w14:paraId="3EB0AFD2" w14:textId="33B5E0D9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BE0A3E5" wp14:editId="2DA8AE86">
            <wp:simplePos x="0" y="0"/>
            <wp:positionH relativeFrom="page">
              <wp:align>left</wp:align>
            </wp:positionH>
            <wp:positionV relativeFrom="paragraph">
              <wp:posOffset>316230</wp:posOffset>
            </wp:positionV>
            <wp:extent cx="10536116" cy="5928360"/>
            <wp:effectExtent l="0" t="0" r="0" b="0"/>
            <wp:wrapSquare wrapText="bothSides"/>
            <wp:docPr id="4778498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6116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A3E">
        <w:rPr>
          <w:rFonts w:ascii="Times New Roman" w:hAnsi="Times New Roman" w:cs="Times New Roman"/>
          <w:i/>
          <w:iCs/>
          <w:color w:val="000000" w:themeColor="text1"/>
        </w:rPr>
        <w:t>Mapa conceptual sobre la negociación colectiva y el pliego de peticiones</w:t>
      </w:r>
    </w:p>
    <w:p w14:paraId="4239B467" w14:textId="2F0D7E5F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67CE2ABA" w14:textId="3B3C1C81" w:rsidR="00073B5E" w:rsidRPr="000A6A3E" w:rsidRDefault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i/>
          <w:iCs/>
          <w:color w:val="000000" w:themeColor="text1"/>
        </w:rPr>
        <w:t>Nota.</w:t>
      </w:r>
      <w:r w:rsidRPr="000A6A3E">
        <w:rPr>
          <w:rFonts w:ascii="Times New Roman" w:hAnsi="Times New Roman" w:cs="Times New Roman"/>
          <w:color w:val="000000" w:themeColor="text1"/>
        </w:rPr>
        <w:t xml:space="preserve"> Elaboración propia a partir de los Convenios 98 y 154 de la OIT y la normativa laboral nacional.</w:t>
      </w:r>
    </w:p>
    <w:p w14:paraId="5A88B38B" w14:textId="77777777" w:rsidR="00073B5E" w:rsidRPr="000A6A3E" w:rsidRDefault="00073B5E" w:rsidP="00073B5E">
      <w:pPr>
        <w:pStyle w:val="Ttulo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lastRenderedPageBreak/>
        <w:t>Conclusiones</w:t>
      </w:r>
    </w:p>
    <w:p w14:paraId="25DB9BFE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</w:p>
    <w:p w14:paraId="7094F8D1" w14:textId="7777777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A partir del análisis normativo y el desarrollo de los productos presentados en este informe, se concluye que la </w:t>
      </w:r>
      <w:r w:rsidRPr="000A6A3E">
        <w:rPr>
          <w:rFonts w:ascii="Times New Roman" w:hAnsi="Times New Roman" w:cs="Times New Roman"/>
          <w:b/>
          <w:bCs/>
          <w:color w:val="000000" w:themeColor="text1"/>
        </w:rPr>
        <w:t>ciudadanía laboral</w:t>
      </w:r>
      <w:r w:rsidRPr="000A6A3E">
        <w:rPr>
          <w:rFonts w:ascii="Times New Roman" w:hAnsi="Times New Roman" w:cs="Times New Roman"/>
          <w:color w:val="000000" w:themeColor="text1"/>
        </w:rPr>
        <w:t xml:space="preserve"> trasciende la mera relación de subordinación entre empleador y trabajador.</w:t>
      </w:r>
    </w:p>
    <w:p w14:paraId="495CC751" w14:textId="08FD182C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El reconocimiento del trabajador como un ser político implica el ejercicio consciente y activo de sus derechos fundamentales en el trabajo, los cuales garantizan la dignidad humana, la equidad socioeconómica y la protección social en el entorno productivo.</w:t>
      </w:r>
    </w:p>
    <w:p w14:paraId="54D14381" w14:textId="77777777" w:rsidR="000A6A3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El </w:t>
      </w:r>
      <w:r w:rsidRPr="000A6A3E">
        <w:rPr>
          <w:rFonts w:ascii="Times New Roman" w:hAnsi="Times New Roman" w:cs="Times New Roman"/>
          <w:b/>
          <w:bCs/>
          <w:color w:val="000000" w:themeColor="text1"/>
        </w:rPr>
        <w:t>derecho a la huelga</w:t>
      </w:r>
      <w:r w:rsidRPr="000A6A3E">
        <w:rPr>
          <w:rFonts w:ascii="Times New Roman" w:hAnsi="Times New Roman" w:cs="Times New Roman"/>
          <w:color w:val="000000" w:themeColor="text1"/>
        </w:rPr>
        <w:t xml:space="preserve"> se consolida como una garantía constitucional de última instancia frente a la falta de acuerdo en los conflictos laborales.</w:t>
      </w:r>
    </w:p>
    <w:p w14:paraId="075756E1" w14:textId="3992EE6B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Su ejercicio pacífico y reglamentado —amparado por el artículo 56 de la Constitución Política y regulado mediante la intervención exclusiva de la rama judicial para su calificación— demuestra que la protesta laboral legítima está diseñada para equilibrar las cargas de poder y obligar a las partes a mantener abiertos los canales del diálogo sin desproteger los derechos mínimos del trabajador.</w:t>
      </w:r>
    </w:p>
    <w:p w14:paraId="0C377DED" w14:textId="77777777" w:rsidR="000A6A3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La </w:t>
      </w:r>
      <w:r w:rsidRPr="000A6A3E">
        <w:rPr>
          <w:rFonts w:ascii="Times New Roman" w:hAnsi="Times New Roman" w:cs="Times New Roman"/>
          <w:b/>
          <w:bCs/>
          <w:color w:val="000000" w:themeColor="text1"/>
        </w:rPr>
        <w:t>negociación colectiva</w:t>
      </w:r>
      <w:r w:rsidRPr="000A6A3E">
        <w:rPr>
          <w:rFonts w:ascii="Times New Roman" w:hAnsi="Times New Roman" w:cs="Times New Roman"/>
          <w:color w:val="000000" w:themeColor="text1"/>
        </w:rPr>
        <w:t xml:space="preserve"> constituye la herramienta idónea para promover el trabajo decente y la paz laboral.</w:t>
      </w:r>
    </w:p>
    <w:p w14:paraId="3CACB128" w14:textId="52A482B7" w:rsidR="00073B5E" w:rsidRPr="000A6A3E" w:rsidRDefault="00073B5E" w:rsidP="00073B5E">
      <w:p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>A través de instrumentos como el pliego de peticiones y las convenciones colectivas, respaldados por los Convenios 98 y 154 de la Organización Internacional del Trabajo (OIT), se fomenta la concertación bipartita de buena fe, permitiendo elevar las condiciones de trabajo por encima de los mínimos legales e impulsando el desarrollo social continuo en las empresas.</w:t>
      </w:r>
    </w:p>
    <w:p w14:paraId="75859AC1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7D6A23D5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15832B77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4CACA21E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0707A138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573723B0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173591A4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74900B22" w14:textId="77777777" w:rsid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07E9493B" w14:textId="77777777" w:rsidR="000A6A3E" w:rsidRPr="000A6A3E" w:rsidRDefault="000A6A3E" w:rsidP="00073B5E">
      <w:pPr>
        <w:rPr>
          <w:rFonts w:ascii="Times New Roman" w:hAnsi="Times New Roman" w:cs="Times New Roman"/>
          <w:color w:val="000000" w:themeColor="text1"/>
        </w:rPr>
      </w:pPr>
    </w:p>
    <w:p w14:paraId="6E83DC77" w14:textId="47E69F99" w:rsidR="00073B5E" w:rsidRPr="000A6A3E" w:rsidRDefault="00073B5E" w:rsidP="000A6A3E">
      <w:pPr>
        <w:pStyle w:val="Ttulo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A6A3E">
        <w:rPr>
          <w:rFonts w:ascii="Times New Roman" w:hAnsi="Times New Roman" w:cs="Times New Roman"/>
          <w:b/>
          <w:bCs/>
          <w:color w:val="000000" w:themeColor="text1"/>
        </w:rPr>
        <w:lastRenderedPageBreak/>
        <w:t>Referencias</w:t>
      </w:r>
    </w:p>
    <w:p w14:paraId="3265755E" w14:textId="77777777" w:rsidR="000A6A3E" w:rsidRPr="000A6A3E" w:rsidRDefault="000A6A3E" w:rsidP="000A6A3E">
      <w:pPr>
        <w:rPr>
          <w:rFonts w:ascii="Times New Roman" w:hAnsi="Times New Roman" w:cs="Times New Roman"/>
          <w:color w:val="000000" w:themeColor="text1"/>
        </w:rPr>
      </w:pPr>
    </w:p>
    <w:p w14:paraId="53ADB72B" w14:textId="0A5DF2D0" w:rsidR="00073B5E" w:rsidRPr="000A6A3E" w:rsidRDefault="00073B5E" w:rsidP="000A6A3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Asamblea Nacional Constituyente. (1991). </w:t>
      </w:r>
      <w:r w:rsidRPr="000A6A3E">
        <w:rPr>
          <w:rFonts w:ascii="Times New Roman" w:hAnsi="Times New Roman" w:cs="Times New Roman"/>
          <w:i/>
          <w:iCs/>
          <w:color w:val="000000" w:themeColor="text1"/>
        </w:rPr>
        <w:t>Constitución Política de Colombia</w:t>
      </w:r>
      <w:r w:rsidRPr="000A6A3E">
        <w:rPr>
          <w:rFonts w:ascii="Times New Roman" w:hAnsi="Times New Roman" w:cs="Times New Roman"/>
          <w:color w:val="000000" w:themeColor="text1"/>
        </w:rPr>
        <w:t>.</w:t>
      </w:r>
    </w:p>
    <w:p w14:paraId="4A58C2DD" w14:textId="37CC20F6" w:rsidR="00073B5E" w:rsidRPr="000A6A3E" w:rsidRDefault="00073B5E" w:rsidP="000A6A3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Congreso de la República de Colombia. (1950). </w:t>
      </w:r>
      <w:r w:rsidRPr="000A6A3E">
        <w:rPr>
          <w:rFonts w:ascii="Times New Roman" w:hAnsi="Times New Roman" w:cs="Times New Roman"/>
          <w:i/>
          <w:iCs/>
          <w:color w:val="000000" w:themeColor="text1"/>
        </w:rPr>
        <w:t>Código Sustantivo del Trabajo</w:t>
      </w:r>
      <w:r w:rsidRPr="000A6A3E">
        <w:rPr>
          <w:rFonts w:ascii="Times New Roman" w:hAnsi="Times New Roman" w:cs="Times New Roman"/>
          <w:color w:val="000000" w:themeColor="text1"/>
        </w:rPr>
        <w:t>. Diario Oficial No. 27.407.</w:t>
      </w:r>
    </w:p>
    <w:p w14:paraId="4A3874BF" w14:textId="3AF6947C" w:rsidR="00073B5E" w:rsidRPr="000A6A3E" w:rsidRDefault="00073B5E" w:rsidP="000A6A3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Congreso de la República de Colombia. (2008, 16 de julio). </w:t>
      </w:r>
      <w:r w:rsidRPr="000A6A3E">
        <w:rPr>
          <w:rFonts w:ascii="Times New Roman" w:hAnsi="Times New Roman" w:cs="Times New Roman"/>
          <w:i/>
          <w:iCs/>
          <w:color w:val="000000" w:themeColor="text1"/>
        </w:rPr>
        <w:t>Ley 1210 de 2008: Por la cual se modifica el artículo 451 del Código Sustantivo del Trabajo y se dictan otras disposiciones</w:t>
      </w:r>
      <w:r w:rsidRPr="000A6A3E">
        <w:rPr>
          <w:rFonts w:ascii="Times New Roman" w:hAnsi="Times New Roman" w:cs="Times New Roman"/>
          <w:color w:val="000000" w:themeColor="text1"/>
        </w:rPr>
        <w:t>. Diario Oficial No. 47.052.</w:t>
      </w:r>
    </w:p>
    <w:p w14:paraId="77DE5493" w14:textId="471102F5" w:rsidR="000A6A3E" w:rsidRPr="000A6A3E" w:rsidRDefault="00073B5E" w:rsidP="000A6A3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Organización Internacional del Trabajo. (1948). </w:t>
      </w:r>
      <w:r w:rsidRPr="000A6A3E">
        <w:rPr>
          <w:rFonts w:ascii="Times New Roman" w:hAnsi="Times New Roman" w:cs="Times New Roman"/>
          <w:i/>
          <w:iCs/>
          <w:color w:val="000000" w:themeColor="text1"/>
        </w:rPr>
        <w:t>Convenio sobre la libertad sindical y la protección del derecho de sindicación (No. 87)</w:t>
      </w:r>
      <w:r w:rsidRPr="000A6A3E">
        <w:rPr>
          <w:rFonts w:ascii="Times New Roman" w:hAnsi="Times New Roman" w:cs="Times New Roman"/>
          <w:color w:val="000000" w:themeColor="text1"/>
        </w:rPr>
        <w:t xml:space="preserve">. </w:t>
      </w:r>
      <w:hyperlink r:id="rId10" w:history="1">
        <w:r w:rsidR="000A6A3E" w:rsidRPr="000A6A3E">
          <w:rPr>
            <w:rStyle w:val="Hipervnculo"/>
            <w:rFonts w:ascii="Times New Roman" w:hAnsi="Times New Roman" w:cs="Times New Roman"/>
            <w:color w:val="000000" w:themeColor="text1"/>
          </w:rPr>
          <w:t>https://normlex.ilo.org/dyn/nrmlx_es/f?p=NORMLEXPUB:12100:0::NO::P12100_INSTRUMENT_ID:312232</w:t>
        </w:r>
      </w:hyperlink>
    </w:p>
    <w:p w14:paraId="7FD027FF" w14:textId="7119B32B" w:rsidR="00073B5E" w:rsidRPr="000A6A3E" w:rsidRDefault="00073B5E" w:rsidP="000A6A3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A6A3E">
        <w:rPr>
          <w:rFonts w:ascii="Times New Roman" w:hAnsi="Times New Roman" w:cs="Times New Roman"/>
          <w:color w:val="000000" w:themeColor="text1"/>
        </w:rPr>
        <w:t xml:space="preserve">Organización Internacional del Trabajo. (1949). </w:t>
      </w:r>
      <w:r w:rsidRPr="000A6A3E">
        <w:rPr>
          <w:rFonts w:ascii="Times New Roman" w:hAnsi="Times New Roman" w:cs="Times New Roman"/>
          <w:i/>
          <w:iCs/>
          <w:color w:val="000000" w:themeColor="text1"/>
        </w:rPr>
        <w:t>Convenio sobre el derecho de sindicación y de negociación colectiva (No. 98)</w:t>
      </w:r>
      <w:r w:rsidRPr="000A6A3E">
        <w:rPr>
          <w:rFonts w:ascii="Times New Roman" w:hAnsi="Times New Roman" w:cs="Times New Roman"/>
          <w:color w:val="000000" w:themeColor="text1"/>
        </w:rPr>
        <w:t xml:space="preserve">. </w:t>
      </w:r>
      <w:hyperlink r:id="rId11" w:history="1">
        <w:r w:rsidR="000A6A3E" w:rsidRPr="000A6A3E">
          <w:rPr>
            <w:rStyle w:val="Hipervnculo"/>
            <w:rFonts w:ascii="Times New Roman" w:hAnsi="Times New Roman" w:cs="Times New Roman"/>
            <w:color w:val="000000" w:themeColor="text1"/>
          </w:rPr>
          <w:t>https://normlex.ilo.org/dyn/nrmlx_es/f?p=NORMLEXPUB:12100:0::NO:12100:P12100_INSTRUMENT_ID:312243:NO</w:t>
        </w:r>
      </w:hyperlink>
    </w:p>
    <w:sectPr w:rsidR="00073B5E" w:rsidRPr="000A6A3E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EE33D" w14:textId="77777777" w:rsidR="00194A00" w:rsidRDefault="00194A00" w:rsidP="00073B5E">
      <w:pPr>
        <w:spacing w:after="0" w:line="240" w:lineRule="auto"/>
      </w:pPr>
      <w:r>
        <w:separator/>
      </w:r>
    </w:p>
  </w:endnote>
  <w:endnote w:type="continuationSeparator" w:id="0">
    <w:p w14:paraId="5C91CAE9" w14:textId="77777777" w:rsidR="00194A00" w:rsidRDefault="00194A00" w:rsidP="00073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3543702"/>
      <w:docPartObj>
        <w:docPartGallery w:val="Page Numbers (Bottom of Page)"/>
        <w:docPartUnique/>
      </w:docPartObj>
    </w:sdtPr>
    <w:sdtContent>
      <w:p w14:paraId="0FCE3B5F" w14:textId="19234E0B" w:rsidR="00073B5E" w:rsidRDefault="00073B5E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F52629E" wp14:editId="476C21B2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860585267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43787895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1137138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9E3A09" w14:textId="77777777" w:rsidR="00073B5E" w:rsidRDefault="00073B5E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F52629E" id="Grupo 1" o:spid="_x0000_s1026" style="position:absolute;margin-left:0;margin-top:0;width:34.4pt;height:56.45pt;z-index:251659264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" filled="f" strokecolor="#7f7f7f">
                    <v:textbox>
                      <w:txbxContent>
                        <w:p w14:paraId="769E3A09" w14:textId="77777777" w:rsidR="00073B5E" w:rsidRDefault="00073B5E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02EC4" w14:textId="77777777" w:rsidR="00194A00" w:rsidRDefault="00194A00" w:rsidP="00073B5E">
      <w:pPr>
        <w:spacing w:after="0" w:line="240" w:lineRule="auto"/>
      </w:pPr>
      <w:r>
        <w:separator/>
      </w:r>
    </w:p>
  </w:footnote>
  <w:footnote w:type="continuationSeparator" w:id="0">
    <w:p w14:paraId="631E5C41" w14:textId="77777777" w:rsidR="00194A00" w:rsidRDefault="00194A00" w:rsidP="00073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56EE0"/>
    <w:multiLevelType w:val="hybridMultilevel"/>
    <w:tmpl w:val="C130FE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83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41"/>
    <w:rsid w:val="00073B5E"/>
    <w:rsid w:val="000A6A3E"/>
    <w:rsid w:val="00194A00"/>
    <w:rsid w:val="00483341"/>
    <w:rsid w:val="0071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C7BD16"/>
  <w15:chartTrackingRefBased/>
  <w15:docId w15:val="{F4C25F18-41D8-444E-9561-CDD0A5F16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8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8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833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3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3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3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3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3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3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3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3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3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3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3B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3B5E"/>
  </w:style>
  <w:style w:type="paragraph" w:styleId="Piedepgina">
    <w:name w:val="footer"/>
    <w:basedOn w:val="Normal"/>
    <w:link w:val="PiedepginaCar"/>
    <w:uiPriority w:val="99"/>
    <w:unhideWhenUsed/>
    <w:rsid w:val="00073B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B5E"/>
  </w:style>
  <w:style w:type="character" w:styleId="Hipervnculo">
    <w:name w:val="Hyperlink"/>
    <w:basedOn w:val="Fuentedeprrafopredeter"/>
    <w:uiPriority w:val="99"/>
    <w:unhideWhenUsed/>
    <w:rsid w:val="00073B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5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A6A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rmlex.ilo.org/dyn/nrmlx_es/f?p=NORMLEXPUB:12100:0::NO:12100:P12100_INSTRUMENT_ID:312243:N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normlex.ilo.org/dyn/nrmlx_es/f?p=NORMLEXPUB:12100:0::NO::P12100_INSTRUMENT_ID:31223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998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2</cp:revision>
  <dcterms:created xsi:type="dcterms:W3CDTF">2026-09-13T20:27:00Z</dcterms:created>
  <dcterms:modified xsi:type="dcterms:W3CDTF">2026-09-13T20:42:00Z</dcterms:modified>
</cp:coreProperties>
</file>