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470"/>
          <w:sz w:val="18"/>
          <w:szCs w:val="18"/>
        </w:rPr>
        <w:t xml:space="preserve">DOCUMENTAÇÃO TÉCNICA DE PROJETO</w:t>
      </w:r>
    </w:p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FlowPay</w:t>
      </w:r>
    </w:p>
    <w:p>
      <w:pPr>
        <w:spacing w:after="300"/>
      </w:pPr>
      <w:r>
        <w:rPr>
          <w:i/>
          <w:iCs/>
          <w:color w:val="2E6E5E"/>
          <w:sz w:val="26"/>
          <w:szCs w:val="26"/>
        </w:rPr>
        <w:t xml:space="preserve">API de Cobranças Recorrentes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Autor: </w:t>
      </w:r>
      <w:r>
        <w:rPr>
          <w:sz w:val="20"/>
          <w:szCs w:val="20"/>
        </w:rPr>
        <w:t xml:space="preserve">José Hoschett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Stack: </w:t>
      </w:r>
      <w:r>
        <w:rPr>
          <w:sz w:val="20"/>
          <w:szCs w:val="20"/>
        </w:rPr>
        <w:t xml:space="preserve">Java 21 · Spring Boot 3.3 · PostgreSQL · Flyway · Docker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Repositório: </w:t>
      </w:r>
      <w:r>
        <w:rPr>
          <w:i/>
          <w:iCs/>
          <w:color w:val="5B6470"/>
          <w:sz w:val="20"/>
          <w:szCs w:val="20"/>
        </w:rPr>
        <w:t xml:space="preserve">github.com/ZeHoschett/flowpay</w:t>
      </w:r>
    </w:p>
    <w:p>
      <w:pPr>
        <w:pStyle w:val="Heading1"/>
        <w:pBdr>
          <w:bottom w:val="single" w:color="1F3A5F" w:sz="8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1. Visão Geral</w:t>
      </w:r>
    </w:p>
    <w:p>
      <w:pPr>
        <w:spacing w:after="160" w:line="300"/>
      </w:pPr>
      <w:r>
        <w:rPr>
          <w:sz w:val="21"/>
          <w:szCs w:val="21"/>
        </w:rPr>
        <w:t xml:space="preserve">O FlowPay é uma API REST construída em Java com Spring Boot para gerenciar o ciclo de vida de cobranças recorrentes: criação, consulta, listagem, confirmação de pagamento e cancelamento — com notificação automática de outros sistemas via webhook sempre que o status de uma cobrança muda.</w:t>
      </w:r>
    </w:p>
    <w:p>
      <w:pPr>
        <w:spacing w:after="160" w:line="300"/>
      </w:pPr>
      <w:r>
        <w:rPr>
          <w:sz w:val="21"/>
          <w:szCs w:val="21"/>
        </w:rPr>
        <w:t xml:space="preserve">O projeto foi desenhado como parte de um ecossistema simulado de sistemas financeiros interligados: o FlowPay representa a camada moderna que uma empresa teria hoje para gerenciar cobranças, enquanto um sistema legado (COBOL/mainframe) consumiria as cobranças pendentes para gerar remessas bancárias. Essa integração não é implementada nesta versão, mas o desenho do FlowPay já contempla os pontos de extensão necessários (webhook de saída, referência a agendamentos externos).</w:t>
      </w:r>
    </w:p>
    <w:p>
      <w:pPr>
        <w:spacing w:after="160" w:line="300"/>
      </w:pPr>
      <w:r>
        <w:rPr>
          <w:sz w:val="21"/>
          <w:szCs w:val="21"/>
        </w:rPr>
        <w:t xml:space="preserve">Mais do que um CRUD, o projeto foi construído para demonstrar domínio de padrões usados em sistemas de pagamento reais: máquina de estados explícita, idempotência, retry com backoff exponencial e tratamento de erro padronizado — temas recorrentes em entrevistas técnicas para vagas de backend.</w:t>
      </w:r>
    </w:p>
    <w:p>
      <w:pPr>
        <w:pStyle w:val="Heading1"/>
        <w:pBdr>
          <w:bottom w:val="single" w:color="1F3A5F" w:sz="8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2. Escopo Funcional</w:t>
      </w:r>
    </w:p>
    <w:p>
      <w:pPr>
        <w:pStyle w:val="Heading2"/>
        <w:spacing w:after="120" w:before="280"/>
      </w:pPr>
      <w:r>
        <w:rPr>
          <w:b/>
          <w:bCs/>
          <w:color w:val="2E6E5E"/>
          <w:sz w:val="24"/>
          <w:szCs w:val="24"/>
        </w:rPr>
        <w:t xml:space="preserve">2.1 Máquina de estados</w:t>
      </w:r>
    </w:p>
    <w:p>
      <w:pPr>
        <w:spacing w:after="160" w:line="300"/>
      </w:pPr>
      <w:r>
        <w:rPr>
          <w:sz w:val="21"/>
          <w:szCs w:val="21"/>
        </w:rPr>
        <w:t xml:space="preserve">O núcleo do domínio é uma máquina de estados de cobrança. Uma cobrança nasce como PENDENTE e só pode transicionar para um dos três estados finais abaixo — nenhum estado final permite transição de volta ou para outro estado final: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PENDENTE → PAGA (confirmação de recebimento do pagamento)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PENDENTE → VENCIDA (passagem da data de vencimento)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PENDENTE → CANCELADA (cancelamento manual)</w:t>
      </w:r>
    </w:p>
    <w:p>
      <w:pPr>
        <w:spacing w:after="160" w:line="300"/>
      </w:pPr>
      <w:r>
        <w:rPr>
          <w:sz w:val="21"/>
          <w:szCs w:val="21"/>
        </w:rPr>
        <w:t xml:space="preserve">As transições permitidas são declaradas explicitamente no enum StatusCobranca (cada estado define seu próprio conjunto de destinos válidos), e qualquer tentativa de transição fora desse conjunto lança uma exceção de domínio tratada de forma padronizada pela camada web. Essa decisão de design evita bugs sutis de estado inconsistente — comuns em sistemas financeiros — e torna a regra de negócio central auditável em um único lugar do código.</w:t>
      </w:r>
    </w:p>
    <w:p>
      <w:pPr>
        <w:pStyle w:val="Heading2"/>
        <w:spacing w:after="120" w:before="280"/>
      </w:pPr>
      <w:r>
        <w:rPr>
          <w:b/>
          <w:bCs/>
          <w:color w:val="2E6E5E"/>
          <w:sz w:val="24"/>
          <w:szCs w:val="24"/>
        </w:rPr>
        <w:t xml:space="preserve">2.2 Endpoints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600"/>
      </w:tblGrid>
      <w:tr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Caminho</w:t>
            </w:r>
          </w:p>
        </w:tc>
        <w:tc>
          <w:tcPr>
            <w:tcW w:type="dxa" w:w="4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/cobrancas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Cria uma cobrança (aceita header Idempotency-Key)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/cobrancas/{id}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Consulta uma cobrança por ID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/cobrancas?clienteId=&amp;status=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Lista cobranças de um cliente, com filtro opcional de status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/cobrancas/{id}/pagar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Marca como paga (simula webhook de gateway de pagamento)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/cobrancas/{id}/cancelar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Cancela uma cobrança pendente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/webhooks/test-receiver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Endpoint de teste que recebe e loga notificações de saída</w:t>
            </w:r>
          </w:p>
        </w:tc>
      </w:tr>
    </w:tbl>
    <w:p>
      <w:pPr>
        <w:spacing w:before="160"/>
      </w:pPr>
    </w:p>
    <w:p>
      <w:pPr>
        <w:spacing w:after="160" w:line="300"/>
      </w:pPr>
      <w:r>
        <w:rPr>
          <w:sz w:val="21"/>
          <w:szCs w:val="21"/>
        </w:rPr>
        <w:t xml:space="preserve">Toda a API (exceto o endpoint de teste de webhook, a documentação Swagger e o health check) é protegida por um token fixo de API enviado no header X-API-Key — nível de segurança suficiente para o escopo do projeto, com autenticação/autorização mais robusta (OAuth2, JWT, multi-tenancy) documentada como evolução futura.</w:t>
      </w:r>
    </w:p>
    <w:p>
      <w:pPr>
        <w:pStyle w:val="Heading1"/>
        <w:pBdr>
          <w:bottom w:val="single" w:color="1F3A5F" w:sz="8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3. Diferenciais Técnicos</w:t>
      </w:r>
    </w:p>
    <w:p>
      <w:pPr>
        <w:spacing w:after="160" w:line="300"/>
      </w:pPr>
      <w:r>
        <w:rPr>
          <w:sz w:val="21"/>
          <w:szCs w:val="21"/>
        </w:rPr>
        <w:t xml:space="preserve">Três mecanismos foram implementados de forma incremental, cada um resolvendo um problema real e recorrente em sistemas de pagamento:</w:t>
      </w:r>
    </w:p>
    <w:p>
      <w:pPr>
        <w:pStyle w:val="Heading2"/>
        <w:spacing w:after="120" w:before="280"/>
      </w:pPr>
      <w:r>
        <w:rPr>
          <w:b/>
          <w:bCs/>
          <w:color w:val="2E6E5E"/>
          <w:sz w:val="24"/>
          <w:szCs w:val="24"/>
        </w:rPr>
        <w:t xml:space="preserve">3.1 Idempotência</w:t>
      </w:r>
    </w:p>
    <w:p>
      <w:pPr>
        <w:spacing w:after="160" w:line="300"/>
      </w:pPr>
      <w:r>
        <w:rPr>
          <w:sz w:val="21"/>
          <w:szCs w:val="21"/>
        </w:rPr>
        <w:t xml:space="preserve">Ao criar uma cobrança, o cliente pode enviar um header Idempotency-Key. A chave — junto com um hash SHA-256 do corpo da requisição — é persistida em uma tabela dedicada (idempotency_key), junto com a resposta já dada.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Mesma chave + mesmo corpo: </w:t>
      </w:r>
      <w:r>
        <w:rPr>
          <w:sz w:val="21"/>
          <w:szCs w:val="21"/>
        </w:rPr>
        <w:t xml:space="preserve">a API devolve a resposta original, sem criar uma cobrança duplicada. Isso protege contra o cenário clássico de falha de rede seguida de retry automático do cliente.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Mesma chave + corpo diferente: </w:t>
      </w:r>
      <w:r>
        <w:rPr>
          <w:sz w:val="21"/>
          <w:szCs w:val="21"/>
        </w:rPr>
        <w:t xml:space="preserve">a API retorna 409 Conflict, tratando isso como uso incorreto da chave em vez de assumir (de forma potencialmente perigosa) que é uma repetição legítima.</w:t>
      </w:r>
    </w:p>
    <w:p>
      <w:pPr>
        <w:pStyle w:val="Heading2"/>
        <w:spacing w:after="120" w:before="280"/>
      </w:pPr>
      <w:r>
        <w:rPr>
          <w:b/>
          <w:bCs/>
          <w:color w:val="2E6E5E"/>
          <w:sz w:val="24"/>
          <w:szCs w:val="24"/>
        </w:rPr>
        <w:t xml:space="preserve">3.2 Retry com backoff exponencial no webhook</w:t>
      </w:r>
    </w:p>
    <w:p>
      <w:pPr>
        <w:spacing w:after="160" w:line="300"/>
      </w:pPr>
      <w:r>
        <w:rPr>
          <w:sz w:val="21"/>
          <w:szCs w:val="21"/>
        </w:rPr>
        <w:t xml:space="preserve">Quando o status de uma cobrança muda, o disparo do webhook é agendado para ocorrer somente após o commit da transação de banco (via TransactionSynchronization do Spring), evitando notificar uma mudança de estado que acabou sendo revertida.</w:t>
      </w:r>
    </w:p>
    <w:p>
      <w:pPr>
        <w:spacing w:after="160" w:line="300"/>
      </w:pPr>
      <w:r>
        <w:rPr>
          <w:sz w:val="21"/>
          <w:szCs w:val="21"/>
        </w:rPr>
        <w:t xml:space="preserve">Se a chamada HTTP ao consumidor falhar, o sistema tenta novamente com backoff exponencial (1s, 2s, 4s, 8s...) até um limite configurável de tentativas, após o qual a notificação é marcada como falha permanente. Cada tentativa é registrada em uma tabela de auditoria (webhook_notificacao), permitindo inspeção posterior de falhas de entrega.</w:t>
      </w:r>
    </w:p>
    <w:p>
      <w:pPr>
        <w:pStyle w:val="Heading2"/>
        <w:spacing w:after="120" w:before="280"/>
      </w:pPr>
      <w:r>
        <w:rPr>
          <w:b/>
          <w:bCs/>
          <w:color w:val="2E6E5E"/>
          <w:sz w:val="24"/>
          <w:szCs w:val="24"/>
        </w:rPr>
        <w:t xml:space="preserve">3.3 Tratamento de erros padronizado (RFC 7807)</w:t>
      </w:r>
    </w:p>
    <w:p>
      <w:pPr>
        <w:spacing w:after="160" w:line="300"/>
      </w:pPr>
      <w:r>
        <w:rPr>
          <w:sz w:val="21"/>
          <w:szCs w:val="21"/>
        </w:rPr>
        <w:t xml:space="preserve">Todas as respostas de erro da API seguem o padrão RFC 7807 (Problem Details for HTTP APIs), usando o suporte nativo do Spring 6 (ProblemDetail). Em vez de cada endpoint devolver um formato de erro diferente, toda a API responde com a mesma estrutura: type, title, status, detail e instance.</w:t>
      </w:r>
    </w:p>
    <w:p>
      <w:pPr>
        <w:spacing w:after="160" w:line="300"/>
      </w:pPr>
      <w:r>
        <w:rPr>
          <w:sz w:val="21"/>
          <w:szCs w:val="21"/>
        </w:rPr>
        <w:t xml:space="preserve">Exemplo de resposta para uma transição de estado inválida (tentar pagar uma cobrança já cancelada):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shd w:fill="EE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"type": "https://flowpay.dev/problems/transicao-invalida",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"Transição de status inválida",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409,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"detail": "Transição inválida: não é possível mover a cobrança de CANCELADA para PAGA"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A5F" w:sz="8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4. Arquitetura e Decisões de Design</w:t>
      </w:r>
    </w:p>
    <w:p>
      <w:pPr>
        <w:pStyle w:val="Heading2"/>
        <w:spacing w:after="120" w:before="280"/>
      </w:pPr>
      <w:r>
        <w:rPr>
          <w:b/>
          <w:bCs/>
          <w:color w:val="2E6E5E"/>
          <w:sz w:val="24"/>
          <w:szCs w:val="24"/>
        </w:rPr>
        <w:t xml:space="preserve">4.1 Organização em camadas</w:t>
      </w:r>
    </w:p>
    <w:p>
      <w:pPr>
        <w:spacing w:after="160" w:line="300"/>
      </w:pPr>
      <w:r>
        <w:rPr>
          <w:sz w:val="21"/>
          <w:szCs w:val="21"/>
        </w:rPr>
        <w:t xml:space="preserve">O código é organizado por camada técnica — domain, application, infrastructure — em vez de por feature. Essa foi uma decisão consciente: com um único agregado central (a cobrança) na v1, dividir por feature criaria mais pastas do que conceitos distintos a separar. A reorganização por módulo/feature fica documentada como ponto de revisão caso o domínio cresça (múltiplos agregados, mais casos de uso).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domain: </w:t>
      </w:r>
      <w:r>
        <w:rPr>
          <w:sz w:val="21"/>
          <w:szCs w:val="21"/>
        </w:rPr>
        <w:t xml:space="preserve">Cobranca, StatusCobranca (a máquina de estados) e exceções de domínio — sem qualquer dependência do framework Spring.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application: </w:t>
      </w:r>
      <w:r>
        <w:rPr>
          <w:sz w:val="21"/>
          <w:szCs w:val="21"/>
        </w:rPr>
        <w:t xml:space="preserve">casos de uso (CobrancaService, IdempotencyService) que orquestram domínio e infraestrutura.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infrastructure: </w:t>
      </w:r>
      <w:r>
        <w:rPr>
          <w:sz w:val="21"/>
          <w:szCs w:val="21"/>
        </w:rPr>
        <w:t xml:space="preserve">tudo que fala com o mundo externo — REST (web), persistência (persistence) e o cliente de webhook (webhook).</w:t>
      </w:r>
    </w:p>
    <w:p>
      <w:pPr>
        <w:pStyle w:val="Heading2"/>
        <w:spacing w:after="120" w:before="280"/>
      </w:pPr>
      <w:r>
        <w:rPr>
          <w:b/>
          <w:bCs/>
          <w:color w:val="2E6E5E"/>
          <w:sz w:val="24"/>
          <w:szCs w:val="24"/>
        </w:rPr>
        <w:t xml:space="preserve">4.2 Stack técnica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Linguagem / Runtime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Java 21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Framework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Spring Boot 3.3 (Web, Data JPA, Validation)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16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Migrations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Flyway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Documentação de API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OpenAPI / springdoc-openapi (Swagger UI)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Testes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JUnit 5, AssertJ, Testcontainers, Awaitility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Build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Maven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Containerização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Docker &amp; Docker Compose</w:t>
            </w:r>
          </w:p>
        </w:tc>
      </w:tr>
    </w:tbl>
    <w:p>
      <w:pPr>
        <w:spacing w:before="160"/>
      </w:pPr>
    </w:p>
    <w:p>
      <w:pPr>
        <w:spacing w:after="160" w:line="300"/>
      </w:pPr>
      <w:r>
        <w:rPr>
          <w:sz w:val="21"/>
          <w:szCs w:val="21"/>
        </w:rPr>
        <w:t xml:space="preserve">Migrations de banco são versionadas com Flyway desde o primeiro commit — o schema nunca evolui manualmente no banco. Os testes de integração usam Testcontainers para rodar contra um PostgreSQL real em container, evitando os falsos positivos comuns de bancos em memória. A documentação da API é gerada automaticamente a partir do código via springdoc-openapi, garantindo que a especificação nunca fique desatualizada em relação à implementação.</w:t>
      </w:r>
    </w:p>
    <w:p>
      <w:pPr>
        <w:pStyle w:val="Heading1"/>
        <w:pBdr>
          <w:bottom w:val="single" w:color="1F3A5F" w:sz="8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5. Qualidade e Validação</w:t>
      </w:r>
    </w:p>
    <w:p>
      <w:pPr>
        <w:spacing w:after="160" w:line="300"/>
      </w:pPr>
      <w:r>
        <w:rPr>
          <w:sz w:val="21"/>
          <w:szCs w:val="21"/>
        </w:rPr>
        <w:t xml:space="preserve">O comportamento da API foi validado de duas formas complementares: testes automatizados de unidade (cobrindo a máquina de estados) e uma bateria de testes manuais end-to-end via Swagger UI, cobrindo exatamente o critério de aceite definido para a versão 1 do projeto: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600"/>
      </w:tblGrid>
      <w:tr>
        <w:tc>
          <w:tcPr>
            <w:tcW w:type="dxa" w:w="5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4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Criar cobrança via API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Validado — 201 Created, status inicial PENDENTE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Idempotência: mesma chave não duplica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Validado — chamada repetida devolve o mesmo ID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Pagamento dispara webhook de notificação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Validado — log de recebimento confirmado no consumidor de teste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Transição de estado inválida retorna erro padronizado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Validado — 409 Conflict no formato RFC 7807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Corpo de requisição malformado tratado corretamente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Validado — 400 Bad Request (corrigido durante os testes exploratórios)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Suíte de testes unitários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9/9 testes passando (máquina de estados)</w:t>
            </w:r>
          </w:p>
        </w:tc>
      </w:tr>
    </w:tbl>
    <w:p>
      <w:pPr>
        <w:spacing w:before="160"/>
      </w:pPr>
    </w:p>
    <w:p>
      <w:pPr>
        <w:spacing w:after="160" w:line="300"/>
      </w:pPr>
      <w:r>
        <w:rPr>
          <w:sz w:val="21"/>
          <w:szCs w:val="21"/>
        </w:rPr>
        <w:t xml:space="preserve">Durante os testes manuais, um bug real foi identificado e corrigido: um corpo de requisição JSON malformado retornava 500 Internal Server Error em vez de 400 Bad Request, porque o tratador de exceções global não possuía um handler específico para erros de desserialização. A correção — um ExceptionHandler dedicado para HttpMessageNotReadableException — ilustra o valor de testes exploratórios manuais mesmo em um projeto com boa cobertura automatizada.</w:t>
      </w:r>
    </w:p>
    <w:p>
      <w:pPr>
        <w:pStyle w:val="Heading1"/>
        <w:pBdr>
          <w:bottom w:val="single" w:color="1F3A5F" w:sz="8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6. Desafio de Engenharia: Ambiente de Testes</w:t>
      </w:r>
    </w:p>
    <w:p>
      <w:pPr>
        <w:spacing w:after="160" w:line="300"/>
      </w:pPr>
      <w:r>
        <w:rPr>
          <w:sz w:val="21"/>
          <w:szCs w:val="21"/>
        </w:rPr>
        <w:t xml:space="preserve">Um teste de integração completo (criação, idempotência, autenticação, transição de estado e disparo real de webhook contra um PostgreSQL real via Testcontainers) foi escrito e está correto, mas ficou bloqueado em ambiente de desenvolvimento Windows por uma incompatibilidade de negociação de versão de API entre o cliente docker-java (usado pelo Testcontainers) e versões recentes do Docker Desktop (4.60+) rodando sobre WSL2.</w:t>
      </w:r>
    </w:p>
    <w:p>
      <w:pPr>
        <w:spacing w:after="160" w:line="300"/>
      </w:pPr>
      <w:r>
        <w:rPr>
          <w:sz w:val="21"/>
          <w:szCs w:val="21"/>
        </w:rPr>
        <w:t xml:space="preserve">O diagnóstico envolveu isolar sistematicamente cada camada da stack de conectividade: verificação do daemon Docker via CLI nativo, testes de diferentes named pipes (docker_engine, docker_cli), exposição do daemon via TCP, atualização da versão do Testcontainers, fixação explícita da versão da API Docker via variável de ambiente e reinicialização completa do ambiente — até concluir, com evidência de resposta HTTP malformada consistente em múltiplas configurações, que se tratava de uma limitação de compatibilidade da ferramenta, e não de um erro de configuração do projeto.</w:t>
      </w:r>
    </w:p>
    <w:p>
      <w:pPr>
        <w:spacing w:after="160" w:line="300"/>
      </w:pPr>
      <w:r>
        <w:rPr>
          <w:sz w:val="21"/>
          <w:szCs w:val="21"/>
        </w:rPr>
        <w:t xml:space="preserve">Diante disso, a decisão tomada foi pragmática: documentar a limitação conhecida no README do projeto (com o diagnóstico e as opções de contorno testadas) e validar o comportamento completo manualmente, em vez de bloquear a entrega por uma incompatibilidade de ambiente alheia ao código. Esse tipo de julgamento — saber quando persistir na causa raiz e quando seguir em frente com uma mitigação documentada — é, na prática, tão relevante quanto a escrita do código em si.</w:t>
      </w:r>
    </w:p>
    <w:p>
      <w:pPr>
        <w:pStyle w:val="Heading1"/>
        <w:pBdr>
          <w:bottom w:val="single" w:color="1F3A5F" w:sz="8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7. Escopo Não Implementado (v1)</w:t>
      </w:r>
    </w:p>
    <w:p>
      <w:pPr>
        <w:spacing w:after="160" w:line="300"/>
      </w:pPr>
      <w:r>
        <w:rPr>
          <w:sz w:val="21"/>
          <w:szCs w:val="21"/>
        </w:rPr>
        <w:t xml:space="preserve">Definidos conscientemente como fora do escopo da primeira versão, e documentados como evolução futura: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Padrão Outbox completo: hoje o webhook é disparado após o commit da transação via callback do Spring; o padrão Outbox (gravar o evento na mesma transação de domínio e processá-lo por um scheduler separado) eliminaria a janela residual de perda de evento em caso de falha do processo entre o commit e o envio.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Multi-tenancy e autenticação/autorização robusta (OAuth2, JWT, escopos por usuário).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Suporte a múltiplos métodos de pagamento ou gateways reais.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Cálculo de juros e multa por atraso.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Transição automática PENDENTE → VENCIDA por passagem de data (dependeria de um job agendado, natural extensão do trabalho de Outbox).</w:t>
      </w:r>
    </w:p>
    <w:p>
      <w:pPr>
        <w:pStyle w:val="Heading1"/>
        <w:pBdr>
          <w:bottom w:val="single" w:color="1F3A5F" w:sz="8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8. Conclusão</w:t>
      </w:r>
    </w:p>
    <w:p>
      <w:pPr>
        <w:spacing w:after="160" w:line="300"/>
      </w:pPr>
      <w:r>
        <w:rPr>
          <w:sz w:val="21"/>
          <w:szCs w:val="21"/>
        </w:rPr>
        <w:t xml:space="preserve">O FlowPay demonstra a construção de uma API de pagamentos com preocupações de nível de produção — consistência de estado, idempotência, entrega confiável de eventos e observabilidade de erros — usando um stack moderno de Java e Spring Boot, com decisões de arquitetura e trade-offs documentados e justificados ao longo de todo o desenvolvimento.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2026-09-16T14:20:17.891Z</dcterms:created>
  <dcterms:modified xsi:type="dcterms:W3CDTF">2026-09-16T14:20:17.891Z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