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rtl w:val="0"/>
        </w:rPr>
        <w:t xml:space="preserve">10.05.2022                                                      </w:t>
      </w:r>
      <w:r w:rsidDel="00000000" w:rsidR="00000000" w:rsidRPr="00000000">
        <w:rPr>
          <w:u w:val="single"/>
          <w:rtl w:val="0"/>
        </w:rPr>
        <w:t xml:space="preserve">Wykonawcy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u w:val="single"/>
          <w:rtl w:val="0"/>
        </w:rPr>
        <w:t xml:space="preserve">Ksawery Zelek , Adrian Starostka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T: Konfiguracja VLANów i separacja portów.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VLANy i PVID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TL-SG105E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T1600G-28TS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SPRAWDZENIE DZIAŁANIA VLANów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ST”LAN1” -&gt; S”LAN1”       VLAN10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ST”LAN1” -&gt; S”WAN”        VLAN10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ST”LAN2” -&gt; S”WAN”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ST”LAN2” -&gt; S”LAN1”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IZOLACJA PORTÓW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TL-SG105E widzą się porty 1,4,5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 xml:space="preserve">nie da się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T1600G-28TS widzą się porty 1,4,6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