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275D2" w14:textId="77777777" w:rsidR="00835407" w:rsidRDefault="00000000">
      <w:pPr>
        <w:pStyle w:val="Title"/>
      </w:pPr>
      <w:r>
        <w:rPr>
          <w:color w:val="1F3864"/>
        </w:rPr>
        <w:t>Client Strategy Memo — Westpac Wholesale Banking</w:t>
      </w:r>
    </w:p>
    <w:p w14:paraId="56DEC710" w14:textId="77777777" w:rsidR="00835407" w:rsidRDefault="00000000">
      <w:r>
        <w:rPr>
          <w:sz w:val="20"/>
        </w:rPr>
        <w:t>Confidential — Engagement Use Only</w:t>
      </w:r>
    </w:p>
    <w:p w14:paraId="3B879F7B" w14:textId="77777777" w:rsidR="00835407" w:rsidRDefault="00000000">
      <w:r>
        <w:rPr>
          <w:sz w:val="20"/>
        </w:rPr>
        <w:t>Prepared by: Robert McKenzie, Director — Financial Services Consulting</w:t>
      </w:r>
    </w:p>
    <w:p w14:paraId="5CFE1663" w14:textId="77777777" w:rsidR="00835407" w:rsidRDefault="00000000">
      <w:r>
        <w:rPr>
          <w:sz w:val="20"/>
        </w:rPr>
        <w:t>Date: 28 April 2026</w:t>
      </w:r>
    </w:p>
    <w:p w14:paraId="1AADB29A" w14:textId="77777777" w:rsidR="00835407" w:rsidRDefault="00835407"/>
    <w:p w14:paraId="14A9813C" w14:textId="77777777" w:rsidR="00835407" w:rsidRDefault="00000000">
      <w:pPr>
        <w:pStyle w:val="Heading1"/>
      </w:pPr>
      <w:r>
        <w:rPr>
          <w:color w:val="1F3864"/>
        </w:rPr>
        <w:t>Executive Context</w:t>
      </w:r>
    </w:p>
    <w:p w14:paraId="45CF929E" w14:textId="77777777" w:rsidR="00835407" w:rsidRDefault="00000000">
      <w:r>
        <w:t>Westpac Wholesale Banking ('WBC-WIB') is at an inflection point. Following the 2024 strategic review and the subsequent appointment of a new Chief Executive in October 2025, the division has publicly committed to rebuilding its commercial banking franchise after a period of de-emphasis. Our recent conversations with the WIB executive team — including the CFO, the COO, and the Head of Commercial — confirm that the next twelve months will be the most consequential strategic window for the franchise in over a decade. This memo lays out our point of view on where Deloitte should focus our client investment, where we should decline opportunities that look attractive but carry asymmetric reputational risk, and how we should structure the senior relationship over the FY26-FY27 period.</w:t>
      </w:r>
    </w:p>
    <w:p w14:paraId="47389D9A" w14:textId="77777777" w:rsidR="00835407" w:rsidRDefault="00835407"/>
    <w:p w14:paraId="6202ED7E" w14:textId="77777777" w:rsidR="00835407" w:rsidRDefault="00000000">
      <w:pPr>
        <w:pStyle w:val="Heading1"/>
      </w:pPr>
      <w:r>
        <w:rPr>
          <w:color w:val="1F3864"/>
        </w:rPr>
        <w:t>1. Market Position and Competitive Dynamics</w:t>
      </w:r>
    </w:p>
    <w:p w14:paraId="255DDEBB" w14:textId="77777777" w:rsidR="00835407" w:rsidRDefault="00000000">
      <w:r>
        <w:t>WBC-WIB enters this period with three structural advantages and two structural constraints. The advantages are: a long-standing institutional client book, particularly in infrastructure and natural resources, which represents one of the deepest non-relationship-attrition franchises in the Australian market; a balance sheet that has been materially de-risked since 2022 and now carries surplus CET1 capital available for selective deployment; and a reputational position with mid-market commercial clients that, while diminished, has not been structurally damaged in the way some peers' has. The constraints are: a technology platform that is still mid-migration, with the wholesale lending platform on the path to decommissioning but still operational for at least eighteen months; and a senior commercial banker bench that has thinned over the last five years and is now actively being rebuilt at significant cost.</w:t>
      </w:r>
    </w:p>
    <w:p w14:paraId="1D366B40" w14:textId="77777777" w:rsidR="00835407" w:rsidRDefault="00835407"/>
    <w:p w14:paraId="4BBD3C62" w14:textId="77777777" w:rsidR="00835407" w:rsidRDefault="00000000">
      <w:pPr>
        <w:pStyle w:val="Heading1"/>
      </w:pPr>
      <w:r>
        <w:rPr>
          <w:color w:val="1F3864"/>
        </w:rPr>
        <w:lastRenderedPageBreak/>
        <w:t>2. Strategic Choices Facing the Client</w:t>
      </w:r>
    </w:p>
    <w:p w14:paraId="35C2560A" w14:textId="77777777" w:rsidR="00835407" w:rsidRDefault="00000000">
      <w:r>
        <w:t>The WIB leadership team is, in our view, working through four substantive strategic choices simultaneously, and the answers to each will shape the engagement opportunity for us materially. First: how aggressive to be in rebuilding commercial banking distribution, particularly in the 50-250 million revenue corporate segment where the bank has lost share consistently since 2019. Second: how to position the institutional franchise against the global investment banks that have, since 2023, been more aggressive in Australian DCM. Third: whether to consolidate or maintain the existing two-platform technology approach for wholesale lending, with each option carrying multi-year cost and capability implications. Fourth: how to manage the regulatory engagement pattern around the operational resilience review, which the bank has told the market will be largely concluded by mid-2026 but which our regulatory team believes will run at least through to early 2027.</w:t>
      </w:r>
    </w:p>
    <w:p w14:paraId="7B6BA0AF" w14:textId="77777777" w:rsidR="00835407" w:rsidRDefault="00835407"/>
    <w:p w14:paraId="6B005EB8" w14:textId="77777777" w:rsidR="00835407" w:rsidRDefault="00000000">
      <w:pPr>
        <w:pStyle w:val="Heading1"/>
      </w:pPr>
      <w:r>
        <w:rPr>
          <w:color w:val="1F3864"/>
        </w:rPr>
        <w:t>3. Where We Believe Deloitte Should Invest</w:t>
      </w:r>
    </w:p>
    <w:p w14:paraId="083EB082" w14:textId="77777777" w:rsidR="00835407" w:rsidRDefault="00000000">
      <w:r>
        <w:t>We recommend two areas of concentrated investment. The first is a senior advisory relationship with the Chief Operating Officer's office on operational resilience, where we have a defensible track record across the four major banks and where the work is structurally multi-year. The opportunity is to position Deloitte as the integrator of the resilience programme rather than competing for individual workstreams. The second is a commercial banking transformation engagement aligned to the rebuild of the 50-250 million segment, where we have a differentiated point of view on distribution model design and where our recent work at two regional banks has refreshed our methodology. Both opportunities require senior partner time now, not in three months.</w:t>
      </w:r>
    </w:p>
    <w:p w14:paraId="680621D9" w14:textId="77777777" w:rsidR="00835407" w:rsidRDefault="00835407"/>
    <w:p w14:paraId="4E4D6BA1" w14:textId="77777777" w:rsidR="00835407" w:rsidRDefault="00000000">
      <w:pPr>
        <w:pStyle w:val="Heading1"/>
      </w:pPr>
      <w:r>
        <w:rPr>
          <w:color w:val="1F3864"/>
        </w:rPr>
        <w:t>4. Where We Should Decline</w:t>
      </w:r>
    </w:p>
    <w:p w14:paraId="0B26EB9D" w14:textId="77777777" w:rsidR="00835407" w:rsidRDefault="00000000">
      <w:r>
        <w:t>We should respectfully decline two opportunities that we expect to be presented to us in the next ninety days. The first is the rumoured 'strategy refresh' work — a short, high-profile engagement that the incoming CEO is widely expected to commission. While the visibility is attractive, the scope is almost certainly already framed internally, the time available will not allow our standard quality bar, and our experience with similar 'arrival strategy' engagements at peer institutions is that the consulting firm is consumed and discarded. The second is the technology platform consolidation review, where we do not have the engineering depth on the specific legacy platform involved and where the work will run hot for fifteen-plus months. Letting that one go to a competitor is, in our view, the correct call.</w:t>
      </w:r>
    </w:p>
    <w:p w14:paraId="6F299DA1" w14:textId="77777777" w:rsidR="00835407" w:rsidRDefault="00835407"/>
    <w:p w14:paraId="2A912127" w14:textId="77777777" w:rsidR="00835407" w:rsidRDefault="00000000">
      <w:pPr>
        <w:pStyle w:val="Heading1"/>
      </w:pPr>
      <w:r>
        <w:rPr>
          <w:color w:val="1F3864"/>
        </w:rPr>
        <w:lastRenderedPageBreak/>
        <w:t>5. Relationship Structure</w:t>
      </w:r>
    </w:p>
    <w:p w14:paraId="1CB18BCB" w14:textId="77777777" w:rsidR="00835407" w:rsidRDefault="00000000">
      <w:r>
        <w:t>We recommend formalising a quarterly executive cadence with the WIB CEO, structured around a tight two-page point of view rather than a presentation. The relationship lead should be the Financial Services Sector Leader, supported by our resilience and transformation partners on a rotating basis. We should explicitly avoid a 'large team turnup' cadence, which the WIB COO has told us — politely — that they find unhelpful. Deeper functional engagement with the COO and CFO offices should be handled by their respective relationship partners, with monthly check-ins. The Head of Commercial relationship is currently underweighted on our side and should be lifted by adding a dedicated commercial banking partner to that account.</w:t>
      </w:r>
    </w:p>
    <w:p w14:paraId="624CAE2E" w14:textId="77777777" w:rsidR="00835407" w:rsidRDefault="00835407"/>
    <w:p w14:paraId="32C306D5" w14:textId="77777777" w:rsidR="00835407" w:rsidRDefault="00000000">
      <w:pPr>
        <w:pStyle w:val="Heading1"/>
      </w:pPr>
      <w:r>
        <w:rPr>
          <w:color w:val="1F3864"/>
        </w:rPr>
        <w:t>6. Risks to the Plan</w:t>
      </w:r>
    </w:p>
    <w:p w14:paraId="7EE9F756" w14:textId="77777777" w:rsidR="00835407" w:rsidRDefault="00000000">
      <w:r>
        <w:t>Three risks are worth surfacing now. The first is a change at the CEO or COO level within the next eighteen months — both individuals are credibly recruitable by other institutions, and the loss of either would reset our positioning. The second is a regulatory escalation around operational resilience that moves the work from advisory into formal remediation; this would change both the scope and the commercial structure of any engagement. The third is the possibility that the bank chooses an unconventional partner for the commercial banking rebuild — there are credible signals that two boutique firms are in active discussions. We should not assume incumbency.</w:t>
      </w:r>
    </w:p>
    <w:p w14:paraId="70C295E6" w14:textId="77777777" w:rsidR="00835407" w:rsidRDefault="00835407"/>
    <w:p w14:paraId="73FD9BE7" w14:textId="77777777" w:rsidR="00835407" w:rsidRDefault="00000000">
      <w:pPr>
        <w:pStyle w:val="Heading1"/>
      </w:pPr>
      <w:r>
        <w:rPr>
          <w:color w:val="1F3864"/>
        </w:rPr>
        <w:t>7. Twelve-Month Action Plan</w:t>
      </w:r>
    </w:p>
    <w:p w14:paraId="6352D6CA" w14:textId="77777777" w:rsidR="00835407" w:rsidRDefault="00000000">
      <w:r>
        <w:t>Over the next twelve months we propose: (a) lift the senior cadence with the WIB CEO to quarterly, starting in May; (b) submit an unsolicited two-page point of view on operational resilience integration to the COO's office by end of May; (c) bring our commercial banking transformation methodology to a deep-dive working session with the Head of Commercial by mid-June; (d) decline the two opportunities identified above with clear, relationship-preserving messaging; (e) invest in two senior client events in the second half of the year focused on infrastructure financing and on commercial banking distribution; and (f) refresh our internal Westpac account plan at the half-year point, treating it as a live document rather than an annual artefact.</w:t>
      </w:r>
    </w:p>
    <w:p w14:paraId="7C06F68B" w14:textId="77777777" w:rsidR="00835407" w:rsidRDefault="00835407"/>
    <w:p w14:paraId="322D39AB" w14:textId="77777777" w:rsidR="00835407" w:rsidRDefault="00000000">
      <w:pPr>
        <w:pStyle w:val="Heading1"/>
      </w:pPr>
      <w:r>
        <w:rPr>
          <w:color w:val="1F3864"/>
        </w:rPr>
        <w:t>8. Closing</w:t>
      </w:r>
    </w:p>
    <w:p w14:paraId="0C0A22AD" w14:textId="77777777" w:rsidR="00835407" w:rsidRDefault="00000000">
      <w:r>
        <w:t xml:space="preserve">WBC-WIB is the kind of client where the right call now compounds for five years, and where the wrong call now is recoverable but expensive. Our recommendation is to invest deeply in </w:t>
      </w:r>
      <w:r>
        <w:lastRenderedPageBreak/>
        <w:t>two areas, decline two tempting opportunities, lift the senior cadence materially, and refresh the relationship structure to match the client's stated preference for fewer, sharper interactions. The team is in place. The investment is justified. The next ninety days are the window.</w:t>
      </w:r>
    </w:p>
    <w:p w14:paraId="7BE0FA3F" w14:textId="77777777" w:rsidR="00835407" w:rsidRDefault="00835407"/>
    <w:sectPr w:rsidR="00835407" w:rsidSect="00034616">
      <w:footerReference w:type="even" r:id="rId11"/>
      <w:footerReference w:type="defaul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CBB93" w14:textId="77777777" w:rsidR="00351318" w:rsidRDefault="00351318" w:rsidP="00004E8D">
      <w:pPr>
        <w:spacing w:after="0" w:line="240" w:lineRule="auto"/>
      </w:pPr>
      <w:r>
        <w:separator/>
      </w:r>
    </w:p>
  </w:endnote>
  <w:endnote w:type="continuationSeparator" w:id="0">
    <w:p w14:paraId="10CC457D" w14:textId="77777777" w:rsidR="00351318" w:rsidRDefault="00351318" w:rsidP="00004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1FC64" w14:textId="7B442C09" w:rsidR="00004E8D" w:rsidRDefault="00004E8D">
    <w:pPr>
      <w:pStyle w:val="Footer"/>
    </w:pPr>
    <w:r>
      <w:rPr>
        <w:noProof/>
      </w:rPr>
      <mc:AlternateContent>
        <mc:Choice Requires="wps">
          <w:drawing>
            <wp:anchor distT="0" distB="0" distL="0" distR="0" simplePos="0" relativeHeight="251658240" behindDoc="0" locked="0" layoutInCell="1" allowOverlap="1" wp14:anchorId="015A5015" wp14:editId="31692476">
              <wp:simplePos x="635" y="635"/>
              <wp:positionH relativeFrom="page">
                <wp:align>center</wp:align>
              </wp:positionH>
              <wp:positionV relativeFrom="page">
                <wp:align>bottom</wp:align>
              </wp:positionV>
              <wp:extent cx="1537335" cy="368935"/>
              <wp:effectExtent l="0" t="0" r="5715" b="0"/>
              <wp:wrapNone/>
              <wp:docPr id="858244882" name="Text Box 2" descr="SOLULAN - INTERNAL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37335" cy="368935"/>
                      </a:xfrm>
                      <a:prstGeom prst="rect">
                        <a:avLst/>
                      </a:prstGeom>
                      <a:noFill/>
                      <a:ln>
                        <a:noFill/>
                      </a:ln>
                    </wps:spPr>
                    <wps:txbx>
                      <w:txbxContent>
                        <w:p w14:paraId="0F4255C2" w14:textId="7EE0A843" w:rsidR="00004E8D" w:rsidRPr="00004E8D" w:rsidRDefault="00004E8D" w:rsidP="00004E8D">
                          <w:pPr>
                            <w:spacing w:after="0"/>
                            <w:rPr>
                              <w:rFonts w:ascii="Aptos" w:eastAsia="Aptos" w:hAnsi="Aptos" w:cs="Aptos"/>
                              <w:noProof/>
                              <w:color w:val="0000FF"/>
                              <w:sz w:val="20"/>
                              <w:szCs w:val="20"/>
                            </w:rPr>
                          </w:pPr>
                          <w:r w:rsidRPr="00004E8D">
                            <w:rPr>
                              <w:rFonts w:ascii="Aptos" w:eastAsia="Aptos" w:hAnsi="Aptos" w:cs="Aptos"/>
                              <w:noProof/>
                              <w:color w:val="0000FF"/>
                              <w:sz w:val="20"/>
                              <w:szCs w:val="20"/>
                            </w:rPr>
                            <w:t>SOLULAN - INTERNAL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5A5015" id="_x0000_t202" coordsize="21600,21600" o:spt="202" path="m,l,21600r21600,l21600,xe">
              <v:stroke joinstyle="miter"/>
              <v:path gradientshapeok="t" o:connecttype="rect"/>
            </v:shapetype>
            <v:shape id="Text Box 2" o:spid="_x0000_s1026" type="#_x0000_t202" alt="SOLULAN - INTERNAL ONLY" style="position:absolute;margin-left:0;margin-top:0;width:121.05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" filled="f" stroked="f">
              <v:fill o:detectmouseclick="t"/>
              <v:textbox style="mso-fit-shape-to-text:t" inset="0,0,0,15pt">
                <w:txbxContent>
                  <w:p w14:paraId="0F4255C2" w14:textId="7EE0A843" w:rsidR="00004E8D" w:rsidRPr="00004E8D" w:rsidRDefault="00004E8D" w:rsidP="00004E8D">
                    <w:pPr>
                      <w:spacing w:after="0"/>
                      <w:rPr>
                        <w:rFonts w:ascii="Aptos" w:eastAsia="Aptos" w:hAnsi="Aptos" w:cs="Aptos"/>
                        <w:noProof/>
                        <w:color w:val="0000FF"/>
                        <w:sz w:val="20"/>
                        <w:szCs w:val="20"/>
                      </w:rPr>
                    </w:pPr>
                    <w:r w:rsidRPr="00004E8D">
                      <w:rPr>
                        <w:rFonts w:ascii="Aptos" w:eastAsia="Aptos" w:hAnsi="Aptos" w:cs="Aptos"/>
                        <w:noProof/>
                        <w:color w:val="0000FF"/>
                        <w:sz w:val="20"/>
                        <w:szCs w:val="20"/>
                      </w:rPr>
                      <w:t>SOLULAN - INTERNAL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02D13" w14:textId="44EC994A" w:rsidR="00004E8D" w:rsidRDefault="00004E8D">
    <w:pPr>
      <w:pStyle w:val="Footer"/>
    </w:pPr>
    <w:r>
      <w:rPr>
        <w:noProof/>
      </w:rPr>
      <mc:AlternateContent>
        <mc:Choice Requires="wps">
          <w:drawing>
            <wp:anchor distT="0" distB="0" distL="0" distR="0" simplePos="0" relativeHeight="251658241" behindDoc="0" locked="0" layoutInCell="1" allowOverlap="1" wp14:anchorId="43C1747D" wp14:editId="10B7743B">
              <wp:simplePos x="635" y="635"/>
              <wp:positionH relativeFrom="page">
                <wp:align>center</wp:align>
              </wp:positionH>
              <wp:positionV relativeFrom="page">
                <wp:align>bottom</wp:align>
              </wp:positionV>
              <wp:extent cx="1537335" cy="368935"/>
              <wp:effectExtent l="0" t="0" r="5715" b="0"/>
              <wp:wrapNone/>
              <wp:docPr id="293651840" name="Text Box 3" descr="SOLULAN - INTERNAL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37335" cy="368935"/>
                      </a:xfrm>
                      <a:prstGeom prst="rect">
                        <a:avLst/>
                      </a:prstGeom>
                      <a:noFill/>
                      <a:ln>
                        <a:noFill/>
                      </a:ln>
                    </wps:spPr>
                    <wps:txbx>
                      <w:txbxContent>
                        <w:p w14:paraId="465851A7" w14:textId="45414ABC" w:rsidR="00004E8D" w:rsidRPr="00004E8D" w:rsidRDefault="00004E8D" w:rsidP="00004E8D">
                          <w:pPr>
                            <w:spacing w:after="0"/>
                            <w:rPr>
                              <w:rFonts w:ascii="Aptos" w:eastAsia="Aptos" w:hAnsi="Aptos" w:cs="Aptos"/>
                              <w:noProof/>
                              <w:color w:val="0000FF"/>
                              <w:sz w:val="20"/>
                              <w:szCs w:val="20"/>
                            </w:rPr>
                          </w:pPr>
                          <w:r w:rsidRPr="00004E8D">
                            <w:rPr>
                              <w:rFonts w:ascii="Aptos" w:eastAsia="Aptos" w:hAnsi="Aptos" w:cs="Aptos"/>
                              <w:noProof/>
                              <w:color w:val="0000FF"/>
                              <w:sz w:val="20"/>
                              <w:szCs w:val="20"/>
                            </w:rPr>
                            <w:t>SOLULAN - INTERNAL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3C1747D" id="_x0000_t202" coordsize="21600,21600" o:spt="202" path="m,l,21600r21600,l21600,xe">
              <v:stroke joinstyle="miter"/>
              <v:path gradientshapeok="t" o:connecttype="rect"/>
            </v:shapetype>
            <v:shape id="Text Box 3" o:spid="_x0000_s1027" type="#_x0000_t202" alt="SOLULAN - INTERNAL ONLY" style="position:absolute;margin-left:0;margin-top:0;width:121.05pt;height:29.0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" filled="f" stroked="f">
              <v:fill o:detectmouseclick="t"/>
              <v:textbox style="mso-fit-shape-to-text:t" inset="0,0,0,15pt">
                <w:txbxContent>
                  <w:p w14:paraId="465851A7" w14:textId="45414ABC" w:rsidR="00004E8D" w:rsidRPr="00004E8D" w:rsidRDefault="00004E8D" w:rsidP="00004E8D">
                    <w:pPr>
                      <w:spacing w:after="0"/>
                      <w:rPr>
                        <w:rFonts w:ascii="Aptos" w:eastAsia="Aptos" w:hAnsi="Aptos" w:cs="Aptos"/>
                        <w:noProof/>
                        <w:color w:val="0000FF"/>
                        <w:sz w:val="20"/>
                        <w:szCs w:val="20"/>
                      </w:rPr>
                    </w:pPr>
                    <w:r w:rsidRPr="00004E8D">
                      <w:rPr>
                        <w:rFonts w:ascii="Aptos" w:eastAsia="Aptos" w:hAnsi="Aptos" w:cs="Aptos"/>
                        <w:noProof/>
                        <w:color w:val="0000FF"/>
                        <w:sz w:val="20"/>
                        <w:szCs w:val="20"/>
                      </w:rPr>
                      <w:t>SOLULAN - INTERNAL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4A1A3" w14:textId="59D91DC9" w:rsidR="00004E8D" w:rsidRDefault="00004E8D">
    <w:pPr>
      <w:pStyle w:val="Footer"/>
    </w:pPr>
    <w:r>
      <w:rPr>
        <w:noProof/>
      </w:rPr>
      <mc:AlternateContent>
        <mc:Choice Requires="wps">
          <w:drawing>
            <wp:anchor distT="0" distB="0" distL="0" distR="0" simplePos="0" relativeHeight="251658242" behindDoc="0" locked="0" layoutInCell="1" allowOverlap="1" wp14:anchorId="79588839" wp14:editId="2040B544">
              <wp:simplePos x="635" y="635"/>
              <wp:positionH relativeFrom="page">
                <wp:align>center</wp:align>
              </wp:positionH>
              <wp:positionV relativeFrom="page">
                <wp:align>bottom</wp:align>
              </wp:positionV>
              <wp:extent cx="1537335" cy="368935"/>
              <wp:effectExtent l="0" t="0" r="5715" b="0"/>
              <wp:wrapNone/>
              <wp:docPr id="1039142725" name="Text Box 1" descr="SOLULAN - INTERNAL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37335" cy="368935"/>
                      </a:xfrm>
                      <a:prstGeom prst="rect">
                        <a:avLst/>
                      </a:prstGeom>
                      <a:noFill/>
                      <a:ln>
                        <a:noFill/>
                      </a:ln>
                    </wps:spPr>
                    <wps:txbx>
                      <w:txbxContent>
                        <w:p w14:paraId="4B092601" w14:textId="3903C390" w:rsidR="00004E8D" w:rsidRPr="00004E8D" w:rsidRDefault="00004E8D" w:rsidP="00004E8D">
                          <w:pPr>
                            <w:spacing w:after="0"/>
                            <w:rPr>
                              <w:rFonts w:ascii="Aptos" w:eastAsia="Aptos" w:hAnsi="Aptos" w:cs="Aptos"/>
                              <w:noProof/>
                              <w:color w:val="0000FF"/>
                              <w:sz w:val="20"/>
                              <w:szCs w:val="20"/>
                            </w:rPr>
                          </w:pPr>
                          <w:r w:rsidRPr="00004E8D">
                            <w:rPr>
                              <w:rFonts w:ascii="Aptos" w:eastAsia="Aptos" w:hAnsi="Aptos" w:cs="Aptos"/>
                              <w:noProof/>
                              <w:color w:val="0000FF"/>
                              <w:sz w:val="20"/>
                              <w:szCs w:val="20"/>
                            </w:rPr>
                            <w:t>SOLULAN - INTERNAL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9588839" id="_x0000_t202" coordsize="21600,21600" o:spt="202" path="m,l,21600r21600,l21600,xe">
              <v:stroke joinstyle="miter"/>
              <v:path gradientshapeok="t" o:connecttype="rect"/>
            </v:shapetype>
            <v:shape id="Text Box 1" o:spid="_x0000_s1028" type="#_x0000_t202" alt="SOLULAN - INTERNAL ONLY" style="position:absolute;margin-left:0;margin-top:0;width:121.05pt;height:29.0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" filled="f" stroked="f">
              <v:fill o:detectmouseclick="t"/>
              <v:textbox style="mso-fit-shape-to-text:t" inset="0,0,0,15pt">
                <w:txbxContent>
                  <w:p w14:paraId="4B092601" w14:textId="3903C390" w:rsidR="00004E8D" w:rsidRPr="00004E8D" w:rsidRDefault="00004E8D" w:rsidP="00004E8D">
                    <w:pPr>
                      <w:spacing w:after="0"/>
                      <w:rPr>
                        <w:rFonts w:ascii="Aptos" w:eastAsia="Aptos" w:hAnsi="Aptos" w:cs="Aptos"/>
                        <w:noProof/>
                        <w:color w:val="0000FF"/>
                        <w:sz w:val="20"/>
                        <w:szCs w:val="20"/>
                      </w:rPr>
                    </w:pPr>
                    <w:r w:rsidRPr="00004E8D">
                      <w:rPr>
                        <w:rFonts w:ascii="Aptos" w:eastAsia="Aptos" w:hAnsi="Aptos" w:cs="Aptos"/>
                        <w:noProof/>
                        <w:color w:val="0000FF"/>
                        <w:sz w:val="20"/>
                        <w:szCs w:val="20"/>
                      </w:rPr>
                      <w:t>SOLULAN - INTERNAL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D0AF6" w14:textId="77777777" w:rsidR="00351318" w:rsidRDefault="00351318" w:rsidP="00004E8D">
      <w:pPr>
        <w:spacing w:after="0" w:line="240" w:lineRule="auto"/>
      </w:pPr>
      <w:r>
        <w:separator/>
      </w:r>
    </w:p>
  </w:footnote>
  <w:footnote w:type="continuationSeparator" w:id="0">
    <w:p w14:paraId="1A59F197" w14:textId="77777777" w:rsidR="00351318" w:rsidRDefault="00351318" w:rsidP="00004E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8453825">
    <w:abstractNumId w:val="8"/>
  </w:num>
  <w:num w:numId="2" w16cid:durableId="879439025">
    <w:abstractNumId w:val="6"/>
  </w:num>
  <w:num w:numId="3" w16cid:durableId="916399050">
    <w:abstractNumId w:val="5"/>
  </w:num>
  <w:num w:numId="4" w16cid:durableId="1395199228">
    <w:abstractNumId w:val="4"/>
  </w:num>
  <w:num w:numId="5" w16cid:durableId="1447231596">
    <w:abstractNumId w:val="7"/>
  </w:num>
  <w:num w:numId="6" w16cid:durableId="894200217">
    <w:abstractNumId w:val="3"/>
  </w:num>
  <w:num w:numId="7" w16cid:durableId="1090851061">
    <w:abstractNumId w:val="2"/>
  </w:num>
  <w:num w:numId="8" w16cid:durableId="502475629">
    <w:abstractNumId w:val="1"/>
  </w:num>
  <w:num w:numId="9" w16cid:durableId="1424833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E8D"/>
    <w:rsid w:val="00034616"/>
    <w:rsid w:val="0006063C"/>
    <w:rsid w:val="0015074B"/>
    <w:rsid w:val="0029639D"/>
    <w:rsid w:val="00326F90"/>
    <w:rsid w:val="00351318"/>
    <w:rsid w:val="006064BB"/>
    <w:rsid w:val="00835407"/>
    <w:rsid w:val="00975769"/>
    <w:rsid w:val="00AA1D8D"/>
    <w:rsid w:val="00AC143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FB5EDF-BB49-4BD4-9770-60ABAA319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B0326904AAC644E89CED424664EFAEF" ma:contentTypeVersion="10" ma:contentTypeDescription="Create a new document." ma:contentTypeScope="" ma:versionID="fe53223a33348aa334904fa6b1572028">
  <xsd:schema xmlns:xsd="http://www.w3.org/2001/XMLSchema" xmlns:xs="http://www.w3.org/2001/XMLSchema" xmlns:p="http://schemas.microsoft.com/office/2006/metadata/properties" xmlns:ns1="http://schemas.microsoft.com/sharepoint/v3" xmlns:ns2="174c0fc0-5a0c-4954-aed3-4ba8955f5901" targetNamespace="http://schemas.microsoft.com/office/2006/metadata/properties" ma:root="true" ma:fieldsID="073db1366eef9120a2709cadfb457972" ns1:_="" ns2:_="">
    <xsd:import namespace="http://schemas.microsoft.com/sharepoint/v3"/>
    <xsd:import namespace="174c0fc0-5a0c-4954-aed3-4ba8955f59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4c0fc0-5a0c-4954-aed3-4ba8955f59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4390A0B-B97B-4AFC-B887-80D04D7E5856}">
  <ds:schemaRefs>
    <ds:schemaRef ds:uri="http://schemas.microsoft.com/sharepoint/v3/contenttype/forms"/>
  </ds:schemaRefs>
</ds:datastoreItem>
</file>

<file path=customXml/itemProps3.xml><?xml version="1.0" encoding="utf-8"?>
<ds:datastoreItem xmlns:ds="http://schemas.openxmlformats.org/officeDocument/2006/customXml" ds:itemID="{652165B2-E498-44BE-8117-2D08BA87FA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74c0fc0-5a0c-4954-aed3-4ba8955f59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21BD4C-5FF4-43BD-8956-68FB075E2332}">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70a07044-407a-4ca5-9e08-ee415ca1b2b7}" enabled="1" method="Standard" siteId="{0f1f44f2-4b9e-49ad-8539-773ba2bb33f6}"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1105</Words>
  <Characters>6192</Characters>
  <Application>Microsoft Office Word</Application>
  <DocSecurity>0</DocSecurity>
  <Lines>106</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2026-05-12T02:24:00Z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0x0101008B0326904AAC644E89CED424664EFAEF</vt:lpwstr>
  </property>
  <property fmtid="{D5CDD505-2E9C-101B-9397-08002B2CF9AE}" pid="3" name="ClassificationContentMarkingFooterShapeIds">
    <vt:lpwstr>3df00f45,3327c712,1180c580</vt:lpwstr>
  </property>
  <property fmtid="{D5CDD505-2E9C-101B-9397-08002B2CF9AE}" pid="4" name="ClassificationContentMarkingFooterFontProps">
    <vt:lpwstr>#0000ff,10,Aptos</vt:lpwstr>
  </property>
  <property fmtid="{D5CDD505-2E9C-101B-9397-08002B2CF9AE}" pid="5" name="ClassificationContentMarkingFooterText">
    <vt:lpwstr>SOLULAN - INTERNAL ONLY</vt:lpwstr>
  </property>
  <property fmtid="{D5CDD505-2E9C-101B-9397-08002B2CF9AE}" pid="6" name="docLang">
    <vt:lpwstr>en</vt:lpwstr>
  </property>
</Properties>
</file>