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4D"/>
          <w:sz w:val="32"/>
        </w:rPr>
        <w:t>Central Europe Advisory — Monthly Leadership Review</w:t>
      </w:r>
    </w:p>
    <w:p>
      <w:pPr>
        <w:spacing w:after="0"/>
      </w:pPr>
      <w:r>
        <w:rPr>
          <w:b/>
        </w:rPr>
        <w:t xml:space="preserve">Date:  </w:t>
      </w:r>
      <w:r>
        <w:t>Thursday 18 June 2026, 10:00–10:45 CEST</w:t>
      </w:r>
    </w:p>
    <w:p>
      <w:pPr>
        <w:spacing w:after="0"/>
      </w:pPr>
      <w:r>
        <w:rPr>
          <w:b/>
        </w:rPr>
        <w:t xml:space="preserve">Type:  </w:t>
      </w:r>
      <w:r>
        <w:t>Microsoft Teams meeting (transcribed) — fictional demo content</w:t>
      </w:r>
    </w:p>
    <w:p>
      <w:pPr>
        <w:spacing w:after="0"/>
      </w:pPr>
      <w:r>
        <w:rPr>
          <w:b/>
        </w:rPr>
        <w:t xml:space="preserve">Attendees:  </w:t>
      </w:r>
      <w:r>
        <w:t>Anna Kovac (Consulting), Marek Dvorak (Risk Advisory), Petra Novak (Financial Advisory), Tomas Varga (Tax &amp; Legal), Sofia Horvath (Audit &amp; Assurance)</w:t>
      </w:r>
    </w:p>
    <w:p/>
    <w:p>
      <w:pPr>
        <w:spacing w:before="200" w:after="80"/>
      </w:pPr>
      <w:r>
        <w:rPr>
          <w:b/>
          <w:color w:val="1F3B4D"/>
          <w:sz w:val="26"/>
        </w:rPr>
        <w:t>Transcript</w:t>
      </w:r>
    </w:p>
    <w:p>
      <w:pPr>
        <w:spacing w:after="120"/>
      </w:pPr>
      <w:r>
        <w:rPr>
          <w:b/>
          <w:color w:val="1F3B4D"/>
        </w:rPr>
        <w:t xml:space="preserve">Anna Kovac:  </w:t>
      </w:r>
      <w:r>
        <w:t>Thanks everyone. Let's keep this to forty-five minutes. Agenda: portfolio health, three at-risk engagements, resourcing for Q3, and the Atlas decision. Petra, can you start with the numbers?</w:t>
      </w:r>
    </w:p>
    <w:p>
      <w:pPr>
        <w:spacing w:after="120"/>
      </w:pPr>
      <w:r>
        <w:rPr>
          <w:b/>
          <w:color w:val="1F3B4D"/>
        </w:rPr>
        <w:t xml:space="preserve">Petra Novak:  </w:t>
      </w:r>
      <w:r>
        <w:t>Sure. Quarter to date, fees are tracking slightly ahead of plan, but margin is down about two points, mostly from extra review cycles on a few engagements. Realisation is healthy except on Helix and Pulsar.</w:t>
      </w:r>
    </w:p>
    <w:p>
      <w:pPr>
        <w:spacing w:after="120"/>
      </w:pPr>
      <w:r>
        <w:rPr>
          <w:b/>
          <w:color w:val="1F3B4D"/>
        </w:rPr>
        <w:t xml:space="preserve">Marek Dvorak:  </w:t>
      </w:r>
      <w:r>
        <w:t>Helix is the invoice dispute — forty-eight thousand euros on two change requests. We think we have email approval but not signed. Priya is confirming today.</w:t>
      </w:r>
    </w:p>
    <w:p>
      <w:pPr>
        <w:spacing w:after="120"/>
      </w:pPr>
      <w:r>
        <w:rPr>
          <w:b/>
          <w:color w:val="1F3B4D"/>
        </w:rPr>
        <w:t xml:space="preserve">Anna Kovac:  </w:t>
      </w:r>
      <w:r>
        <w:t>Decision: we hold firm on the change requests if we can show written approval, otherwise we negotiate. Marek, you own getting that confirmed by Friday.</w:t>
      </w:r>
    </w:p>
    <w:p>
      <w:pPr>
        <w:spacing w:after="120"/>
      </w:pPr>
      <w:r>
        <w:rPr>
          <w:b/>
          <w:color w:val="1F3B4D"/>
        </w:rPr>
        <w:t xml:space="preserve">Tomas Varga:  </w:t>
      </w:r>
      <w:r>
        <w:t>On Meridian, the partner readout is Friday. Status is green, but the client hinted at a follow-on tax piece. We should be ready to scope it.</w:t>
      </w:r>
    </w:p>
    <w:p>
      <w:pPr>
        <w:spacing w:after="120"/>
      </w:pPr>
      <w:r>
        <w:rPr>
          <w:b/>
          <w:color w:val="1F3B4D"/>
        </w:rPr>
        <w:t xml:space="preserve">Sofia Horvath:  </w:t>
      </w:r>
      <w:r>
        <w:t>Audit side is stable. My concern is resourcing — I have two seniors finishing in July and three engagements ramping. If we don't confirm secondees we'll slip.</w:t>
      </w:r>
    </w:p>
    <w:p>
      <w:pPr>
        <w:spacing w:after="120"/>
      </w:pPr>
      <w:r>
        <w:rPr>
          <w:b/>
          <w:color w:val="1F3B4D"/>
        </w:rPr>
        <w:t xml:space="preserve">Anna Kovac:  </w:t>
      </w:r>
      <w:r>
        <w:t>Agreed. Action: each of us confirms secondee availability for Q3 to Talent by Friday. Sofia, flag the two roles you most need filled.</w:t>
      </w:r>
    </w:p>
    <w:p>
      <w:pPr>
        <w:spacing w:after="120"/>
      </w:pPr>
      <w:r>
        <w:rPr>
          <w:b/>
          <w:color w:val="1F3B4D"/>
        </w:rPr>
        <w:t xml:space="preserve">Petra Novak:  </w:t>
      </w:r>
      <w:r>
        <w:t>On Atlas — the steering committee approved the change request and the revised timeline. They confirmed the two SMEs for July. Go-live still depends on the client's IT release on the tenth.</w:t>
      </w:r>
    </w:p>
    <w:p>
      <w:pPr>
        <w:spacing w:after="120"/>
      </w:pPr>
      <w:r>
        <w:rPr>
          <w:b/>
          <w:color w:val="1F3B4D"/>
        </w:rPr>
        <w:t xml:space="preserve">Marek Dvorak:  </w:t>
      </w:r>
      <w:r>
        <w:t>So the main open risk on Atlas is the IT dependency. I'll add it to the risk log and we track it weekly.</w:t>
      </w:r>
    </w:p>
    <w:p>
      <w:pPr>
        <w:spacing w:after="120"/>
      </w:pPr>
      <w:r>
        <w:rPr>
          <w:b/>
          <w:color w:val="1F3B4D"/>
        </w:rPr>
        <w:t xml:space="preserve">Anna Kovac:  </w:t>
      </w:r>
      <w:r>
        <w:t>Good. Last item — margin. Decision: from next week, any engagement with budget variance over ten percent gets a partner review before the next invoice. Petra will pull the list.</w:t>
      </w:r>
    </w:p>
    <w:p>
      <w:pPr>
        <w:spacing w:after="120"/>
      </w:pPr>
      <w:r>
        <w:rPr>
          <w:b/>
          <w:color w:val="1F3B4D"/>
        </w:rPr>
        <w:t xml:space="preserve">Tomas Varga:  </w:t>
      </w:r>
      <w:r>
        <w:t>Makes sense. I'll bring the Tax pipeline numbers to the next review.</w:t>
      </w:r>
    </w:p>
    <w:p>
      <w:pPr>
        <w:spacing w:after="120"/>
      </w:pPr>
      <w:r>
        <w:rPr>
          <w:b/>
          <w:color w:val="1F3B4D"/>
        </w:rPr>
        <w:t xml:space="preserve">Anna Kovac:  </w:t>
      </w:r>
      <w:r>
        <w:t>Thanks all. To recap the decisions: hold on Helix pending written approval, confirm Q3 secondees by Friday, partner review for any variance over ten percent, and weekly tracking of the Atlas IT dependency. Let's close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326904AAC644E89CED424664EFAEF" ma:contentTypeVersion="14" ma:contentTypeDescription="Create a new document." ma:contentTypeScope="" ma:versionID="afc3379657403d294f837d6b0dc30149">
  <xsd:schema xmlns:xsd="http://www.w3.org/2001/XMLSchema" xmlns:xs="http://www.w3.org/2001/XMLSchema" xmlns:p="http://schemas.microsoft.com/office/2006/metadata/properties" xmlns:ns1="http://schemas.microsoft.com/sharepoint/v3" xmlns:ns2="174c0fc0-5a0c-4954-aed3-4ba8955f5901" xmlns:ns3="e35df2f5-7204-4978-b60f-e495500b7ed4" targetNamespace="http://schemas.microsoft.com/office/2006/metadata/properties" ma:root="true" ma:fieldsID="6de32cd7e5dc08000868b434c7780583" ns1:_="" ns2:_="" ns3:_="">
    <xsd:import namespace="http://schemas.microsoft.com/sharepoint/v3"/>
    <xsd:import namespace="174c0fc0-5a0c-4954-aed3-4ba8955f5901"/>
    <xsd:import namespace="e35df2f5-7204-4978-b60f-e495500b7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0fc0-5a0c-4954-aed3-4ba8955f5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72cdc57-bbee-4921-aa63-a9d3fb79a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df2f5-7204-4978-b60f-e495500b7ed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f8b6b2a-1fec-4e8b-a1cc-87a5d25d4fd1}" ma:internalName="TaxCatchAll" ma:showField="CatchAllData" ma:web="e35df2f5-7204-4978-b60f-e495500b7e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74c0fc0-5a0c-4954-aed3-4ba8955f5901">
      <Terms xmlns="http://schemas.microsoft.com/office/infopath/2007/PartnerControls"/>
    </lcf76f155ced4ddcb4097134ff3c332f>
    <_ip_UnifiedCompliancePolicyProperties xmlns="http://schemas.microsoft.com/sharepoint/v3" xsi:nil="true"/>
    <TaxCatchAll xmlns="e35df2f5-7204-4978-b60f-e495500b7ed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3F10C3-13BE-4D08-BE02-A6870900EA41}"/>
</file>

<file path=customXml/itemProps3.xml><?xml version="1.0" encoding="utf-8"?>
<ds:datastoreItem xmlns:ds="http://schemas.openxmlformats.org/officeDocument/2006/customXml" ds:itemID="{8520D964-D5F2-43D1-B043-284D44B52770}"/>
</file>

<file path=customXml/itemProps4.xml><?xml version="1.0" encoding="utf-8"?>
<ds:datastoreItem xmlns:ds="http://schemas.openxmlformats.org/officeDocument/2006/customXml" ds:itemID="{C3429A42-1295-41ED-9812-F0FBA3DE5B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0x0101008B0326904AAC644E89CED424664EFAEF</vt:lpwstr>
  </property>
  <property fmtid="{D5CDD505-2E9C-101B-9397-08002B2CF9AE}" pid="3" name="Order">
    <vt:r8>909600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