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4D"/>
          <w:sz w:val="36"/>
        </w:rPr>
        <w:t>Central Europe Advisory</w:t>
      </w:r>
    </w:p>
    <w:p>
      <w:r>
        <w:rPr>
          <w:b/>
          <w:color w:val="404040"/>
          <w:sz w:val="24"/>
        </w:rPr>
        <w:t>Quarterly Business Review — Q2 2026 (fictional demo report)</w:t>
      </w:r>
    </w:p>
    <w:p/>
    <w:p>
      <w:pPr>
        <w:spacing w:before="200" w:after="80"/>
      </w:pPr>
      <w:r>
        <w:rPr>
          <w:b/>
          <w:color w:val="1F3B4D"/>
          <w:sz w:val="30"/>
        </w:rPr>
        <w:t>1. Executive summary</w:t>
      </w:r>
    </w:p>
    <w:p>
      <w:pPr>
        <w:spacing w:after="120"/>
      </w:pPr>
      <w:r>
        <w:t>The Central Europe advisory practice delivered a solid second quarter. Fees came in slightly ahead of plan, driven by strong demand in Consulting and Risk Advisory, while overall margin softened by roughly two percentage points due to additional review cycles on a small number of engagements. The portfolio is broadly healthy, with three engagements requiring active management. Resourcing for the third quarter is the principal constraint on continued growth.</w:t>
      </w:r>
    </w:p>
    <w:p>
      <w:pPr>
        <w:spacing w:after="120"/>
      </w:pPr>
      <w:r>
        <w:t>Leadership has agreed three actions: tighten margin governance through partner review of any engagement running more than ten percent over budget, confirm third-quarter secondee availability across all service lines, and track the Project Atlas IT dependency on a weekly basis.</w:t>
      </w:r>
    </w:p>
    <w:p>
      <w:pPr>
        <w:spacing w:before="200" w:after="80"/>
      </w:pPr>
      <w:r>
        <w:rPr>
          <w:b/>
          <w:color w:val="1F3B4D"/>
          <w:sz w:val="30"/>
        </w:rPr>
        <w:t>2. Financial performance</w:t>
      </w:r>
    </w:p>
    <w:p>
      <w:pPr>
        <w:spacing w:after="120"/>
      </w:pPr>
      <w:r>
        <w:t>Quarter-to-date fees are tracking slightly above plan across the portfolio of active engagements. Margin is below target, concentrated in a handful of engagements where additional client review cycles increased delivery cost. Realisation remains healthy overall, with two exceptions — Project Helix, affected by an invoice dispute, and Project Pulsar, where scope expanded faster than billing.</w:t>
      </w:r>
    </w:p>
    <w:p>
      <w:pPr>
        <w:spacing w:after="120"/>
      </w:pPr>
      <w:r>
        <w:t>Budget discipline is the focus for the second half. From next week, any engagement with a budget variance above ten percent will require a partner review before the next invoice is issued.</w:t>
      </w:r>
    </w:p>
    <w:p>
      <w:pPr>
        <w:spacing w:before="200" w:after="80"/>
      </w:pPr>
      <w:r>
        <w:rPr>
          <w:b/>
          <w:color w:val="1F3B4D"/>
          <w:sz w:val="30"/>
        </w:rPr>
        <w:t>3. Practice highlights</w:t>
      </w:r>
    </w:p>
    <w:p>
      <w:pPr>
        <w:pStyle w:val="ListBullet"/>
      </w:pPr>
      <w:r>
        <w:rPr>
          <w:rFonts w:ascii="Arial" w:hAnsi="Arial"/>
          <w:sz w:val="21"/>
        </w:rPr>
        <w:t>Consulting: strongest fee performance this quarter; the Project Atlas operating-model programme passed its steering committee with the revised timeline approved.</w:t>
      </w:r>
    </w:p>
    <w:p>
      <w:pPr>
        <w:pStyle w:val="ListBullet"/>
      </w:pPr>
      <w:r>
        <w:rPr>
          <w:rFonts w:ascii="Arial" w:hAnsi="Arial"/>
          <w:sz w:val="21"/>
        </w:rPr>
        <w:t>Risk Advisory: stable delivery; the team is managing the Project Helix commercial matter and tightening change-request governance.</w:t>
      </w:r>
    </w:p>
    <w:p>
      <w:pPr>
        <w:pStyle w:val="ListBullet"/>
      </w:pPr>
      <w:r>
        <w:rPr>
          <w:rFonts w:ascii="Arial" w:hAnsi="Arial"/>
          <w:sz w:val="21"/>
        </w:rPr>
        <w:t>Financial Advisory: pipeline building; realisation healthy outside the two flagged engagements.</w:t>
      </w:r>
    </w:p>
    <w:p>
      <w:pPr>
        <w:pStyle w:val="ListBullet"/>
      </w:pPr>
      <w:r>
        <w:rPr>
          <w:rFonts w:ascii="Arial" w:hAnsi="Arial"/>
          <w:sz w:val="21"/>
        </w:rPr>
        <w:t>Tax &amp; Legal: a potential follow-on at Project Meridian is being scoped ahead of Friday's partner readout.</w:t>
      </w:r>
    </w:p>
    <w:p>
      <w:pPr>
        <w:pStyle w:val="ListBullet"/>
      </w:pPr>
      <w:r>
        <w:rPr>
          <w:rFonts w:ascii="Arial" w:hAnsi="Arial"/>
          <w:sz w:val="21"/>
        </w:rPr>
        <w:t>Audit &amp; Assurance: delivery stable; resourcing is the main risk, with two seniors rolling off in July.</w:t>
      </w:r>
    </w:p>
    <w:p>
      <w:pPr>
        <w:spacing w:before="200" w:after="80"/>
      </w:pPr>
      <w:r>
        <w:rPr>
          <w:b/>
          <w:color w:val="1F3B4D"/>
          <w:sz w:val="30"/>
        </w:rPr>
        <w:t>4. Risks and mitigations</w:t>
      </w:r>
    </w:p>
    <w:p>
      <w:pPr>
        <w:spacing w:after="80"/>
      </w:pPr>
      <w:r>
        <w:rPr>
          <w:b/>
        </w:rPr>
        <w:t xml:space="preserve">Resourcing gap in Q3 — </w:t>
      </w:r>
      <w:r>
        <w:t>Confirm secondee availability across all service lines by Friday; prioritise the two most critical audit roles.</w:t>
      </w:r>
    </w:p>
    <w:p>
      <w:pPr>
        <w:spacing w:after="80"/>
      </w:pPr>
      <w:r>
        <w:rPr>
          <w:b/>
        </w:rPr>
        <w:t xml:space="preserve">Margin erosion from review cycles — </w:t>
      </w:r>
      <w:r>
        <w:t>Partner review for any engagement over ten percent budget variance before the next invoice.</w:t>
      </w:r>
    </w:p>
    <w:p>
      <w:pPr>
        <w:spacing w:after="80"/>
      </w:pPr>
      <w:r>
        <w:rPr>
          <w:b/>
        </w:rPr>
        <w:t xml:space="preserve">Project Atlas IT dependency — </w:t>
      </w:r>
      <w:r>
        <w:t>Go-live depends on the client's IT release on 10 July; track weekly on the risk log.</w:t>
      </w:r>
    </w:p>
    <w:p>
      <w:pPr>
        <w:spacing w:after="80"/>
      </w:pPr>
      <w:r>
        <w:rPr>
          <w:b/>
        </w:rPr>
        <w:t xml:space="preserve">Project Helix invoice dispute — </w:t>
      </w:r>
      <w:r>
        <w:t>Confirm written approval of the two change requests; hold position if documented, negotiate if not.</w:t>
      </w:r>
    </w:p>
    <w:p>
      <w:pPr>
        <w:spacing w:before="200" w:after="80"/>
      </w:pPr>
      <w:r>
        <w:rPr>
          <w:b/>
          <w:color w:val="1F3B4D"/>
          <w:sz w:val="30"/>
        </w:rPr>
        <w:t>5. Outlook</w:t>
      </w:r>
    </w:p>
    <w:p>
      <w:pPr>
        <w:spacing w:after="120"/>
      </w:pPr>
      <w:r>
        <w:t>The practice enters the second half of the year with a healthy pipeline and a clear set of management actions. If resourcing is secured for the third quarter and margin governance holds, the practice is well positioned to close the year ahead of plan. The immediate priorities are the Project Meridian follow-on, the resolution of the Project Helix matter, and disciplined delivery of the Project Atlas programme through go-live.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4" ma:contentTypeDescription="Create a new document." ma:contentTypeScope="" ma:versionID="afc3379657403d294f837d6b0dc30149">
  <xsd:schema xmlns:xsd="http://www.w3.org/2001/XMLSchema" xmlns:xs="http://www.w3.org/2001/XMLSchema" xmlns:p="http://schemas.microsoft.com/office/2006/metadata/properties" xmlns:ns1="http://schemas.microsoft.com/sharepoint/v3" xmlns:ns2="174c0fc0-5a0c-4954-aed3-4ba8955f5901" xmlns:ns3="e35df2f5-7204-4978-b60f-e495500b7ed4" targetNamespace="http://schemas.microsoft.com/office/2006/metadata/properties" ma:root="true" ma:fieldsID="6de32cd7e5dc08000868b434c7780583" ns1:_="" ns2:_="" ns3:_="">
    <xsd:import namespace="http://schemas.microsoft.com/sharepoint/v3"/>
    <xsd:import namespace="174c0fc0-5a0c-4954-aed3-4ba8955f5901"/>
    <xsd:import namespace="e35df2f5-7204-4978-b60f-e495500b7e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72cdc57-bbee-4921-aa63-a9d3fb79ac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5df2f5-7204-4978-b60f-e495500b7ed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f8b6b2a-1fec-4e8b-a1cc-87a5d25d4fd1}" ma:internalName="TaxCatchAll" ma:showField="CatchAllData" ma:web="e35df2f5-7204-4978-b60f-e495500b7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74c0fc0-5a0c-4954-aed3-4ba8955f5901">
      <Terms xmlns="http://schemas.microsoft.com/office/infopath/2007/PartnerControls"/>
    </lcf76f155ced4ddcb4097134ff3c332f>
    <_ip_UnifiedCompliancePolicyProperties xmlns="http://schemas.microsoft.com/sharepoint/v3" xsi:nil="true"/>
    <TaxCatchAll xmlns="e35df2f5-7204-4978-b60f-e495500b7ed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64764C-1C9E-497E-A602-F1E6DAF7099B}"/>
</file>

<file path=customXml/itemProps3.xml><?xml version="1.0" encoding="utf-8"?>
<ds:datastoreItem xmlns:ds="http://schemas.openxmlformats.org/officeDocument/2006/customXml" ds:itemID="{BB8A844E-6D06-4F2D-A7AA-E9412F58031B}"/>
</file>

<file path=customXml/itemProps4.xml><?xml version="1.0" encoding="utf-8"?>
<ds:datastoreItem xmlns:ds="http://schemas.openxmlformats.org/officeDocument/2006/customXml" ds:itemID="{BD80273D-F9F4-4A1E-96A9-975632C83B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Order">
    <vt:r8>909700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