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jc w:val="left"/>
        <w:rPr>
          <w:rFonts w:ascii="Arial" w:hAnsi="Arial"/>
        </w:rPr>
      </w:pPr>
      <w:r>
        <w:rPr>
          <w:rFonts w:ascii="Arial" w:hAnsi="Arial"/>
        </w:rPr>
        <w:t>01</w:t>
      </w:r>
    </w:p>
    <w:p>
      <w:pPr>
        <w:pStyle w:val="20"/>
        <w:rPr>
          <w:rFonts w:ascii="Arial" w:hAnsi="Arial"/>
          <w:caps/>
        </w:rPr>
      </w:pPr>
      <w:r>
        <w:rPr>
          <w:rFonts w:ascii="Arial" w:hAnsi="Arial"/>
        </w:rPr>
        <w:t>СИНХРОНИЗАЦИЯ И У</w:t>
      </w:r>
      <w:r>
        <w:rPr>
          <w:rFonts w:ascii="Arial" w:hAnsi="Arial"/>
          <w:caps/>
        </w:rPr>
        <w:t>правление движением ансамбля мобильных агентов</w:t>
      </w:r>
    </w:p>
    <w:p>
      <w:pPr>
        <w:pStyle w:val="12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Е.М. Варварин, Г.В. Осипов</w:t>
      </w:r>
    </w:p>
    <w:p>
      <w:pPr>
        <w:pStyle w:val="12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Научно-образовательный математический центр “Математика технологий будущего” Нижегородского государственного университета им. Н.И. Лобачевского, Нижний Новгород</w:t>
      </w:r>
    </w:p>
    <w:p>
      <w:pPr>
        <w:pStyle w:val="21"/>
        <w:rPr>
          <w:i w:val="0"/>
          <w:iCs/>
          <w:sz w:val="24"/>
          <w:szCs w:val="24"/>
        </w:rPr>
      </w:pPr>
      <w:r>
        <w:rPr>
          <w:i w:val="0"/>
          <w:iCs/>
          <w:sz w:val="24"/>
          <w:szCs w:val="24"/>
          <w:lang w:val="en-US"/>
        </w:rPr>
        <w:t>E</w:t>
      </w:r>
      <w:r>
        <w:rPr>
          <w:i w:val="0"/>
          <w:iCs/>
          <w:sz w:val="24"/>
          <w:szCs w:val="24"/>
        </w:rPr>
        <w:t>-</w:t>
      </w:r>
      <w:r>
        <w:rPr>
          <w:i w:val="0"/>
          <w:iCs/>
          <w:sz w:val="24"/>
          <w:szCs w:val="24"/>
          <w:lang w:val="en-US"/>
        </w:rPr>
        <w:t>mail</w:t>
      </w:r>
      <w:r>
        <w:rPr>
          <w:i w:val="0"/>
          <w:iCs/>
          <w:sz w:val="24"/>
          <w:szCs w:val="24"/>
        </w:rPr>
        <w:t xml:space="preserve">: </w:t>
      </w:r>
      <w:r>
        <w:fldChar w:fldCharType="begin"/>
      </w:r>
      <w:r>
        <w:instrText xml:space="preserve"> HYPERLINK "mailto:varvarin262@gmail.com" </w:instrText>
      </w:r>
      <w:r>
        <w:fldChar w:fldCharType="separate"/>
      </w:r>
      <w:r>
        <w:rPr>
          <w:rStyle w:val="7"/>
          <w:i w:val="0"/>
          <w:iCs/>
          <w:sz w:val="24"/>
          <w:szCs w:val="24"/>
          <w:lang w:val="en-US"/>
        </w:rPr>
        <w:t>varvarin</w:t>
      </w:r>
      <w:r>
        <w:rPr>
          <w:rStyle w:val="7"/>
          <w:i w:val="0"/>
          <w:iCs/>
          <w:sz w:val="24"/>
          <w:szCs w:val="24"/>
        </w:rPr>
        <w:t>@</w:t>
      </w:r>
      <w:r>
        <w:rPr>
          <w:rStyle w:val="7"/>
          <w:i w:val="0"/>
          <w:iCs/>
          <w:sz w:val="24"/>
          <w:szCs w:val="24"/>
          <w:lang w:val="en-US"/>
        </w:rPr>
        <w:t>unn</w:t>
      </w:r>
      <w:r>
        <w:rPr>
          <w:rStyle w:val="7"/>
          <w:i w:val="0"/>
          <w:iCs/>
          <w:sz w:val="24"/>
          <w:szCs w:val="24"/>
        </w:rPr>
        <w:t>.</w:t>
      </w:r>
      <w:r>
        <w:rPr>
          <w:rStyle w:val="7"/>
          <w:i w:val="0"/>
          <w:iCs/>
          <w:sz w:val="24"/>
          <w:szCs w:val="24"/>
          <w:lang w:val="en-US"/>
        </w:rPr>
        <w:t>r</w:t>
      </w:r>
      <w:r>
        <w:rPr>
          <w:rStyle w:val="7"/>
          <w:i w:val="0"/>
          <w:iCs/>
          <w:sz w:val="24"/>
          <w:szCs w:val="24"/>
          <w:lang w:val="en-US"/>
        </w:rPr>
        <w:fldChar w:fldCharType="end"/>
      </w:r>
      <w:r>
        <w:rPr>
          <w:rStyle w:val="7"/>
          <w:i w:val="0"/>
          <w:iCs/>
          <w:sz w:val="24"/>
          <w:szCs w:val="24"/>
          <w:lang w:val="en-US"/>
        </w:rPr>
        <w:t>u</w:t>
      </w:r>
    </w:p>
    <w:p>
      <w:pPr>
        <w:spacing w:line="360" w:lineRule="auto"/>
        <w:ind w:left="1134" w:firstLine="284"/>
        <w:jc w:val="both"/>
        <w:rPr>
          <w:rFonts w:eastAsia="Calibri"/>
          <w:sz w:val="24"/>
          <w:szCs w:val="24"/>
          <w:lang w:eastAsia="ru-RU"/>
        </w:rPr>
      </w:pPr>
      <w:r>
        <w:rPr>
          <w:rFonts w:eastAsia="Calibri"/>
          <w:sz w:val="24"/>
          <w:szCs w:val="24"/>
          <w:lang w:eastAsia="ru-RU"/>
        </w:rPr>
        <w:t>В данной статье предлагаются способы реализации последовательного, параллельного и в виде заданной конфигурации движения ансамбля (роя)  с использованием эффекта хаотической фазовой синхронизации. Показывается возможность управления движением ансамбля и определяются условия устойчивости полученных структур.</w:t>
      </w:r>
    </w:p>
    <w:p>
      <w:pPr>
        <w:spacing w:line="360" w:lineRule="auto"/>
        <w:ind w:firstLine="284"/>
        <w:jc w:val="both"/>
        <w:rPr>
          <w:rFonts w:eastAsia="Calibri"/>
          <w:sz w:val="24"/>
          <w:szCs w:val="24"/>
          <w:lang w:eastAsia="ru-RU"/>
        </w:rPr>
      </w:pPr>
      <w:r>
        <w:rPr>
          <w:rFonts w:eastAsia="Calibri"/>
          <w:sz w:val="24"/>
          <w:szCs w:val="24"/>
          <w:lang w:eastAsia="ru-RU"/>
        </w:rPr>
        <w:t>Использование ансамбля мобильных агентов для изучения и анализа коллективной динамики в последние годы широко применяется в различных областях науки и техники [1-4]. Главным объектом большинства исследований в области коллективной динамики является синхронизация [5, 6], которая сильно зависит от топологии связей ансамбля [7, 8]. Можно выделить три основные типа связей в ансамблях: локальная (связь с ближайшими соседями), нелокальная (связь не только с ближайшими соседями), глобальная (связь по принципу   “каждый с каждым” [9, 10]. Чаще всего такие связи имеют стационарный характер, т.е. топология  и сила связей не меняются во времени.  Однако в реальном мире топология большинства структур не является постоянной, связи между элементами могут появляться и исчезать, усиливаться или ослабевать [11]. Системы, в которых помимо силы связи может изменяться и положение узлов, удобно рассматривать как ансамбли мобильных агентов [12-15]. Таким образом удалось рассмотреть: синхронизацию мобильных роботов [16], локализацию объектов распределённой следящей системой [17] и другие работы. В работе [18] представлены результаты управления поведением ансамбля мобильных агентов на плоскости.</w:t>
      </w:r>
    </w:p>
    <w:p>
      <w:pPr>
        <w:spacing w:line="360" w:lineRule="auto"/>
        <w:ind w:firstLine="284"/>
        <w:jc w:val="both"/>
        <w:rPr>
          <w:rFonts w:hAnsi="Cambria Math"/>
          <w:sz w:val="24"/>
          <w:szCs w:val="24"/>
          <w:lang w:val="en-US"/>
        </w:rPr>
      </w:pPr>
      <w:r>
        <w:rPr>
          <w:sz w:val="24"/>
          <w:szCs w:val="24"/>
        </w:rPr>
        <w:t xml:space="preserve">В качестве мобильного агента рассмотрим точку, движущуюся в трёхмерном пространстве </w:t>
      </w:r>
      <m:oMath>
        <m:r>
          <m:rPr/>
          <w:rPr>
            <w:rFonts w:ascii="Cambria Math" w:hAnsi="Cambria Math"/>
            <w:sz w:val="24"/>
            <w:szCs w:val="24"/>
          </w:rPr>
          <m:t>(</m:t>
        </m:r>
        <m:r>
          <m:rPr/>
          <w:rPr>
            <w:rFonts w:ascii="Cambria Math" w:hAnsi="Cambria Math"/>
            <w:sz w:val="24"/>
            <w:szCs w:val="24"/>
            <w:lang w:val="en-US"/>
          </w:rPr>
          <m:t>x</m:t>
        </m:r>
        <m:r>
          <m:rPr/>
          <w:rPr>
            <w:rFonts w:ascii="Cambria Math" w:hAnsi="Cambria Math"/>
            <w:sz w:val="24"/>
            <w:szCs w:val="24"/>
          </w:rPr>
          <m:t>,</m:t>
        </m:r>
        <m:r>
          <m:rPr/>
          <w:rPr>
            <w:rFonts w:ascii="Cambria Math" w:hAnsi="Cambria Math"/>
            <w:sz w:val="24"/>
            <w:szCs w:val="24"/>
            <w:lang w:val="en-US"/>
          </w:rPr>
          <m:t>y</m:t>
        </m:r>
        <m:r>
          <m:rPr/>
          <w:rPr>
            <w:rFonts w:ascii="Cambria Math" w:hAnsi="Cambria Math"/>
            <w:sz w:val="24"/>
            <w:szCs w:val="24"/>
          </w:rPr>
          <m:t>,</m:t>
        </m:r>
        <m:r>
          <m:rPr/>
          <w:rPr>
            <w:rFonts w:ascii="Cambria Math" w:hAnsi="Cambria Math"/>
            <w:sz w:val="24"/>
            <w:szCs w:val="24"/>
            <w:lang w:val="en-US"/>
          </w:rPr>
          <m:t>z</m:t>
        </m:r>
        <m:r>
          <m:rPr/>
          <w:rPr>
            <w:rFonts w:ascii="Cambria Math" w:hAnsi="Cambria Math"/>
            <w:sz w:val="24"/>
            <w:szCs w:val="24"/>
          </w:rPr>
          <m:t>)</m:t>
        </m:r>
      </m:oMath>
      <w:r>
        <w:rPr>
          <w:rFonts w:hAnsi="Cambria Math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>так, что её траектория полностью совпадает с траекторией соответствующего ей хаотического осциллятора. В данной работе, не теряя общности, рассмотрим осциллятор Рёсслера (1)</w:t>
      </w:r>
      <w:r>
        <w:rPr>
          <w:rFonts w:eastAsia="Calibri"/>
          <w:sz w:val="24"/>
          <w:szCs w:val="24"/>
          <w:lang w:val="en-US"/>
        </w:rPr>
        <w:t>.</w:t>
      </w:r>
    </w:p>
    <w:tbl>
      <w:tblPr>
        <w:tblStyle w:val="5"/>
        <w:tblW w:w="93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7245"/>
        <w:gridCol w:w="10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bottom"/>
          </w:tcPr>
          <w:p>
            <w:pPr>
              <w:spacing w:after="0" w:line="360" w:lineRule="auto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Calibr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c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 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1,N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>
            <w:pPr>
              <w:spacing w:after="0" w:line="360" w:lineRule="auto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</w:tbl>
    <w:p>
      <w:pPr>
        <w:spacing w:line="360" w:lineRule="auto"/>
        <w:jc w:val="both"/>
        <w:rPr>
          <w:rFonts w:hint="default"/>
          <w:sz w:val="24"/>
          <w:szCs w:val="24"/>
          <w:lang w:val="ru-RU"/>
        </w:rPr>
      </w:pPr>
      <w:r>
        <w:rPr>
          <w:rFonts w:hAnsi="Cambria Math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Ansi="Cambria Math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</m:oMath>
      <w:r>
        <w:rPr>
          <w:rFonts w:hAnsi="Cambria Math"/>
          <w:sz w:val="24"/>
          <w:szCs w:val="24"/>
        </w:rPr>
        <w:t xml:space="preserve"> - </w:t>
      </w:r>
      <w:r>
        <w:rPr>
          <w:sz w:val="24"/>
          <w:szCs w:val="24"/>
        </w:rPr>
        <w:t xml:space="preserve">положительные параметры. В последующих экспериментах примем: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'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/>
            <w:sz w:val="24"/>
            <w:szCs w:val="24"/>
          </w:rPr>
          <m:t xml:space="preserve"> = 0.2, </m:t>
        </m:r>
        <m:r>
          <m:rPr/>
          <w:rPr>
            <w:rFonts w:hint="default" w:ascii="Cambria Math" w:hAnsi="Cambria Math"/>
            <w:sz w:val="24"/>
            <w:szCs w:val="24"/>
            <w:lang w:val="ru-RU"/>
          </w:rPr>
          <m:t xml:space="preserve"> </m:t>
        </m:r>
        <m:r>
          <m:rPr/>
          <w:rPr>
            <w:rFonts w:ascii="Cambria Math" w:hAnsi="Cambria Math"/>
            <w:sz w:val="24"/>
            <w:szCs w:val="24"/>
            <w:lang w:val="en-US"/>
          </w:rPr>
          <m:t>r</m:t>
        </m:r>
        <m:r>
          <m:rPr/>
          <w:rPr>
            <w:rFonts w:ascii="Cambria Math" w:hAnsi="Cambria Math"/>
            <w:sz w:val="24"/>
            <w:szCs w:val="24"/>
          </w:rPr>
          <m:t xml:space="preserve"> = 4</m:t>
        </m:r>
      </m:oMath>
      <w:r>
        <w:rPr>
          <w:rFonts w:hint="default" w:ascii="Times New Roman" w:hAnsi="Cambria Math"/>
          <w:i w:val="0"/>
          <w:sz w:val="24"/>
          <w:szCs w:val="24"/>
          <w:lang w:val="ru-RU"/>
        </w:rPr>
        <w:t>,</w:t>
      </w:r>
      <w:r>
        <w:rPr>
          <w:rFonts w:hAnsi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 w:eastAsia="Times New Roman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ascii="Cambria Math" w:hAnsi="Cambria Math" w:eastAsia="Times New Roman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ascii="Cambria Math" w:hAnsi="Cambria Math" w:eastAsia="Times New Roman"/>
            <w:sz w:val="24"/>
            <w:szCs w:val="24"/>
          </w:rPr>
          <m:t xml:space="preserve"> = 0.22, </m:t>
        </m:r>
        <m:sSub>
          <m:sSubP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 w:eastAsia="Times New Roman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ascii="Cambria Math" w:hAnsi="Cambria Math" w:eastAsia="Times New Roman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ascii="Cambria Math" w:hAnsi="Cambria Math" w:eastAsia="Times New Roman"/>
            <w:sz w:val="24"/>
            <w:szCs w:val="24"/>
          </w:rPr>
          <m:t xml:space="preserve"> = 0.1, </m:t>
        </m:r>
        <m:sSub>
          <m:sSubP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ascii="Cambria Math" w:hAnsi="Cambria Math" w:eastAsia="Times New Roman"/>
                <w:sz w:val="24"/>
                <w:szCs w:val="24"/>
                <w:lang w:val="en-US"/>
              </w:rPr>
              <m:t>c</m:t>
            </m: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ascii="Cambria Math" w:hAnsi="Cambria Math" w:eastAsia="Times New Roman"/>
                <w:sz w:val="24"/>
                <w:szCs w:val="24"/>
                <w:lang w:val="en-US"/>
              </w:rPr>
              <m:t>i</m:t>
            </m:r>
            <m:ctrlPr>
              <w:rPr>
                <w:rFonts w:ascii="Cambria Math" w:hAnsi="Cambria Math" w:eastAsia="Times New Roman"/>
                <w:i/>
                <w:sz w:val="24"/>
                <w:szCs w:val="24"/>
                <w:lang w:val="en-US"/>
              </w:rPr>
            </m:ctrlPr>
          </m:sub>
        </m:sSub>
        <m:r>
          <m:rPr/>
          <w:rPr>
            <w:rFonts w:ascii="Cambria Math" w:hAnsi="Cambria Math" w:eastAsia="Times New Roman"/>
            <w:sz w:val="24"/>
            <w:szCs w:val="24"/>
          </w:rPr>
          <m:t xml:space="preserve"> = 8.5</m:t>
        </m:r>
        <m:r>
          <m:rPr/>
          <w:rPr>
            <w:rFonts w:hint="default" w:ascii="Cambria Math" w:hAnsi="Cambria Math" w:eastAsia="Times New Roman"/>
            <w:sz w:val="24"/>
            <w:szCs w:val="24"/>
            <w:lang w:val="ru-RU"/>
          </w:rPr>
          <m:t>,</m:t>
        </m:r>
      </m:oMath>
      <w:r>
        <w:rPr>
          <w:rFonts w:hint="default" w:ascii="Times New Roman" w:hAnsi="Cambria Math" w:eastAsia="Times New Roman"/>
          <w:i w:val="0"/>
          <w:sz w:val="24"/>
          <w:szCs w:val="24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sz w:val="24"/>
          <w:szCs w:val="24"/>
          <w:highlight w:val="none"/>
          <w:lang w:val="ru-RU"/>
        </w:rPr>
        <w:t>параметр, характеризующий временные масштабы осцилляций -</w:t>
      </w:r>
      <m:oMath>
        <m:sSub>
          <m:sSubPr>
            <m:ctrlPr>
              <w:rPr>
                <w:rFonts w:hint="default" w:ascii="Cambria Math" w:hAnsi="Cambria Math" w:eastAsia="Times New Roman" w:cs="Times New Roman"/>
                <w:i/>
                <w:sz w:val="24"/>
                <w:szCs w:val="24"/>
                <w:highlight w:val="no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eastAsia="Times New Roman" w:cs="Times New Roman"/>
                <w:sz w:val="24"/>
                <w:szCs w:val="24"/>
                <w:highlight w:val="none"/>
              </w:rPr>
              <m:t xml:space="preserve">  </m:t>
            </m:r>
            <m:r>
              <m:rPr/>
              <w:rPr>
                <w:rFonts w:hint="default" w:ascii="Cambria Math" w:hAnsi="Cambria Math" w:eastAsia="Times New Roman" w:cs="Times New Roman"/>
                <w:sz w:val="24"/>
                <w:szCs w:val="24"/>
                <w:highlight w:val="none"/>
                <w:lang w:val="ru-RU"/>
              </w:rPr>
              <m:t xml:space="preserve"> </m:t>
            </m:r>
            <m:r>
              <m:rPr/>
              <w:rPr>
                <w:rFonts w:hint="default" w:ascii="Cambria Math" w:hAnsi="Cambria Math" w:eastAsia="Times New Roman" w:cs="Times New Roman"/>
                <w:sz w:val="24"/>
                <w:szCs w:val="24"/>
                <w:highlight w:val="none"/>
                <w:lang w:val="en-US"/>
              </w:rPr>
              <m:t>w</m:t>
            </m:r>
            <m:ctrlPr>
              <w:rPr>
                <w:rFonts w:hint="default" w:ascii="Cambria Math" w:hAnsi="Cambria Math" w:eastAsia="Times New Roman" w:cs="Times New Roman"/>
                <w:i/>
                <w:sz w:val="24"/>
                <w:szCs w:val="24"/>
                <w:highlight w:val="none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eastAsia="Times New Roman" w:cs="Times New Roman"/>
                <w:sz w:val="24"/>
                <w:szCs w:val="24"/>
                <w:highlight w:val="none"/>
                <w:lang w:val="en-US"/>
              </w:rPr>
              <m:t>i</m:t>
            </m:r>
            <m:ctrlPr>
              <w:rPr>
                <w:rFonts w:hint="default" w:ascii="Cambria Math" w:hAnsi="Cambria Math" w:eastAsia="Times New Roman" w:cs="Times New Roman"/>
                <w:i/>
                <w:sz w:val="24"/>
                <w:szCs w:val="24"/>
                <w:highlight w:val="none"/>
                <w:lang w:val="en-US"/>
              </w:rPr>
            </m:ctrlPr>
          </m:sub>
        </m:sSub>
        <m:r>
          <m:rPr/>
          <w:rPr>
            <w:rFonts w:ascii="Cambria Math" w:hAnsi="Cambria Math" w:eastAsia="Times New Roman"/>
            <w:sz w:val="24"/>
            <w:szCs w:val="24"/>
            <w:highlight w:val="none"/>
          </w:rPr>
          <m:t>∈[0.93, 1.07]</m:t>
        </m:r>
      </m:oMath>
      <w:r>
        <w:rPr>
          <w:rFonts w:hint="default" w:ascii="Times New Roman" w:hAnsi="Cambria Math" w:eastAsia="Times New Roman"/>
          <w:i w:val="0"/>
          <w:sz w:val="24"/>
          <w:szCs w:val="24"/>
          <w:highlight w:val="none"/>
          <w:lang w:val="ru-RU"/>
        </w:rPr>
        <w:t>.</w:t>
      </w:r>
    </w:p>
    <w:p>
      <w:pPr>
        <w:spacing w:line="36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Организацию управления движением ансамбля мобильных агентов в пространстве можно разбить на два этапа: </w:t>
      </w:r>
    </w:p>
    <w:p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Установление конфигурации агентов.</w:t>
      </w:r>
    </w:p>
    <w:p>
      <w:pPr>
        <w:spacing w:line="360" w:lineRule="auto"/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Выведение агентов на траекторию движения.</w:t>
      </w:r>
    </w:p>
    <w:p>
      <w:pPr>
        <w:spacing w:line="360" w:lineRule="auto"/>
        <w:ind w:firstLine="284"/>
        <w:jc w:val="both"/>
        <w:rPr>
          <w:rFonts w:hint="default"/>
          <w:sz w:val="24"/>
          <w:szCs w:val="24"/>
          <w:lang w:val="en-US" w:eastAsia="ru-RU"/>
        </w:rPr>
      </w:pPr>
      <w:r>
        <w:rPr>
          <w:sz w:val="24"/>
          <w:szCs w:val="24"/>
        </w:rPr>
        <w:t>Д</w:t>
      </w:r>
      <w:r>
        <w:rPr>
          <w:sz w:val="24"/>
          <w:szCs w:val="24"/>
          <w:lang w:eastAsia="ru-RU"/>
        </w:rPr>
        <w:t xml:space="preserve">ля решения поставленных задач мы использовали методы: хаотической фазовой синхронизации </w:t>
      </w:r>
      <w:r>
        <w:rPr>
          <w:sz w:val="24"/>
          <w:szCs w:val="24"/>
          <w:highlight w:val="none"/>
          <w:lang w:eastAsia="ru-RU"/>
        </w:rPr>
        <w:t>(для задания ансамблю агентов определённой конфигурации их расположения в трёхмерном пространстве)</w:t>
      </w:r>
      <w:r>
        <w:rPr>
          <w:rFonts w:hint="default"/>
          <w:sz w:val="24"/>
          <w:szCs w:val="24"/>
          <w:highlight w:val="none"/>
          <w:lang w:val="en-US" w:eastAsia="ru-RU"/>
        </w:rPr>
        <w:t>.</w:t>
      </w:r>
    </w:p>
    <w:p>
      <w:pPr>
        <w:spacing w:line="360" w:lineRule="auto"/>
        <w:ind w:firstLine="284"/>
        <w:jc w:val="both"/>
        <w:rPr>
          <w:sz w:val="24"/>
          <w:szCs w:val="24"/>
          <w:lang w:val="en-US" w:eastAsia="ru-RU"/>
        </w:rPr>
      </w:pPr>
      <w:r>
        <w:rPr>
          <w:sz w:val="24"/>
          <w:szCs w:val="24"/>
          <w:lang w:eastAsia="ru-RU"/>
        </w:rPr>
        <w:t xml:space="preserve">Целью нашего исследования является создание такого ансамбля агентов, в котором  взаимодействия агентов  с соседями начинаются  только при их достаточной,  наперёд заданной  близости, поэтому при любой конфигурации связь между агентами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ru-RU"/>
          </w:rPr>
          <m:t>i</m:t>
        </m:r>
      </m:oMath>
      <w:r>
        <w:rPr>
          <w:rFonts w:hint="default"/>
          <w:sz w:val="24"/>
          <w:szCs w:val="24"/>
          <w:lang w:val="ru-RU" w:eastAsia="ru-RU"/>
        </w:rPr>
        <w:t>-м</w:t>
      </w:r>
      <w:r>
        <w:rPr>
          <w:sz w:val="24"/>
          <w:szCs w:val="24"/>
          <w:lang w:eastAsia="ru-RU"/>
        </w:rPr>
        <w:t xml:space="preserve"> и </w:t>
      </w:r>
      <w:r>
        <w:rPr>
          <w:sz w:val="24"/>
          <w:szCs w:val="24"/>
          <w:lang w:val="en-US" w:eastAsia="ru-RU"/>
        </w:rPr>
        <w:t>j</w:t>
      </w:r>
      <w:r>
        <w:rPr>
          <w:rFonts w:hint="default"/>
          <w:sz w:val="24"/>
          <w:szCs w:val="24"/>
          <w:lang w:val="ru-RU" w:eastAsia="ru-RU"/>
        </w:rPr>
        <w:t xml:space="preserve">-м </w:t>
      </w:r>
      <w:r>
        <w:rPr>
          <w:sz w:val="24"/>
          <w:szCs w:val="24"/>
          <w:lang w:eastAsia="ru-RU"/>
        </w:rPr>
        <w:t>будет удовлетворять условию (2)</w:t>
      </w:r>
      <w:r>
        <w:rPr>
          <w:sz w:val="24"/>
          <w:szCs w:val="24"/>
          <w:lang w:val="en-US" w:eastAsia="ru-RU"/>
        </w:rPr>
        <w:t>:</w:t>
      </w:r>
    </w:p>
    <w:tbl>
      <w:tblPr>
        <w:tblStyle w:val="5"/>
        <w:tblW w:w="935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7"/>
        <w:gridCol w:w="7231"/>
        <w:gridCol w:w="10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spacing w:after="0" w:line="360" w:lineRule="auto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7938" w:type="dxa"/>
          </w:tcPr>
          <w:p>
            <w:pPr>
              <w:spacing w:after="0" w:line="360" w:lineRule="auto"/>
              <w:jc w:val="both"/>
              <w:rPr>
                <w:bCs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eastAsia="Calibri"/>
                    <w:sz w:val="24"/>
                    <w:szCs w:val="24"/>
                    <w:lang w:val="en-US"/>
                  </w:rPr>
                  <m:t>d</m:t>
                </m:r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'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, 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z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z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&lt;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в противном случае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134" w:type="dxa"/>
            <w:vAlign w:val="center"/>
          </w:tcPr>
          <w:p>
            <w:pPr>
              <w:spacing w:after="0" w:line="360" w:lineRule="auto"/>
              <w:jc w:val="right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(2)</w:t>
            </w:r>
          </w:p>
        </w:tc>
      </w:tr>
    </w:tbl>
    <w:p>
      <w:pPr>
        <w:spacing w:line="360" w:lineRule="auto"/>
        <w:ind w:firstLine="284"/>
        <w:jc w:val="both"/>
        <w:rPr>
          <w:rFonts w:hint="default"/>
          <w:iCs/>
          <w:sz w:val="24"/>
          <w:szCs w:val="24"/>
          <w:lang w:val="en-US"/>
        </w:rPr>
      </w:pPr>
      <w:r>
        <w:rPr>
          <w:sz w:val="24"/>
          <w:szCs w:val="24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'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/>
            <w:sz w:val="24"/>
            <w:szCs w:val="24"/>
          </w:rPr>
          <m:t xml:space="preserve"> = </m:t>
        </m:r>
        <m:r>
          <m:rPr/>
          <w:rPr>
            <w:rFonts w:ascii="Cambria Math" w:hAnsi="Cambria Math"/>
            <w:sz w:val="24"/>
            <w:szCs w:val="24"/>
            <w:lang w:val="en-US"/>
          </w:rPr>
          <m:t>const</m:t>
        </m:r>
      </m:oMath>
      <w:r>
        <w:rPr>
          <w:iCs/>
          <w:sz w:val="24"/>
          <w:szCs w:val="24"/>
        </w:rPr>
        <w:t xml:space="preserve"> — параметр связи в нашем исследовании</w:t>
      </w:r>
      <w:r>
        <w:rPr>
          <w:rFonts w:hint="default"/>
          <w:iCs/>
          <w:sz w:val="24"/>
          <w:szCs w:val="24"/>
          <w:lang w:val="ru-RU"/>
        </w:rPr>
        <w:t xml:space="preserve">. </w:t>
      </w:r>
      <w:r>
        <w:rPr>
          <w:rFonts w:hint="default"/>
          <w:iCs/>
          <w:sz w:val="24"/>
          <w:szCs w:val="24"/>
          <w:highlight w:val="none"/>
          <w:lang w:val="ru-RU"/>
        </w:rPr>
        <w:t xml:space="preserve">Таким образом агенты начинают взаимодействовать при попадании в шар радиуса </w:t>
      </w:r>
      <m:oMath>
        <m:r>
          <m:rPr/>
          <w:rPr>
            <w:rFonts w:hint="default" w:ascii="Cambria Math" w:hAnsi="Cambria Math" w:cs="Times New Roman"/>
            <w:sz w:val="24"/>
            <w:szCs w:val="24"/>
            <w:highlight w:val="none"/>
            <w:lang w:val="ru-RU" w:eastAsia="en-US" w:bidi="ar-SA"/>
          </w:rPr>
          <m:t>r</m:t>
        </m:r>
      </m:oMath>
      <w:r>
        <w:rPr>
          <w:rFonts w:hint="default" w:hAnsi="Cambria Math" w:cs="Times New Roman"/>
          <w:i w:val="0"/>
          <w:iCs w:val="0"/>
          <w:sz w:val="24"/>
          <w:szCs w:val="24"/>
          <w:highlight w:val="none"/>
          <w:lang w:val="en-US" w:eastAsia="en-US" w:bidi="ar-SA"/>
        </w:rPr>
        <w:t>.</w:t>
      </w:r>
    </w:p>
    <w:p>
      <w:pPr>
        <w:pStyle w:val="3"/>
      </w:pPr>
      <w:r>
        <w:t>Реализованные конфигурации движения роя мобильных агентов.</w:t>
      </w:r>
    </w:p>
    <w:p>
      <w:pPr>
        <w:numPr>
          <w:ilvl w:val="0"/>
          <w:numId w:val="2"/>
        </w:numPr>
        <w:tabs>
          <w:tab w:val="clear" w:pos="425"/>
        </w:tabs>
        <w:spacing w:line="36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Последовательное движение агентов.</w:t>
      </w:r>
    </w:p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Добавим в систему (1) «притягивающую» связь по координате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</m:t>
        </m:r>
      </m:oMath>
      <w:r>
        <w:rPr>
          <w:iCs/>
          <w:sz w:val="24"/>
          <w:szCs w:val="24"/>
        </w:rPr>
        <w:t xml:space="preserve"> следующим образом:</w:t>
      </w:r>
    </w:p>
    <w:tbl>
      <w:tblPr>
        <w:tblStyle w:val="5"/>
        <w:tblW w:w="93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7245"/>
        <w:gridCol w:w="10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bottom"/>
          </w:tcPr>
          <w:p>
            <w:pPr>
              <w:spacing w:after="0" w:line="360" w:lineRule="auto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Calibr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+ </m:t>
                        </m:r>
                        <m:nary>
                          <m:naryPr>
                            <m:chr m:val="∑"/>
                            <m:limLoc m:val="subSup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  <m:sup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c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 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1,N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>
            <w:pPr>
              <w:spacing w:after="0" w:line="360" w:lineRule="auto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</w:tbl>
    <w:p>
      <w:pPr>
        <w:spacing w:line="360" w:lineRule="auto"/>
        <w:ind w:firstLine="284"/>
        <w:jc w:val="both"/>
        <w:rPr>
          <w:rFonts w:hint="default"/>
          <w:iCs/>
          <w:sz w:val="24"/>
          <w:szCs w:val="24"/>
          <w:highlight w:val="red"/>
          <w:lang w:val="ru-RU"/>
        </w:rPr>
      </w:pPr>
      <w:r>
        <w:rPr>
          <w:iCs/>
          <w:sz w:val="24"/>
          <w:szCs w:val="24"/>
          <w:highlight w:val="red"/>
          <w:lang w:val="ru-RU"/>
        </w:rPr>
        <w:t>Элементы</w:t>
      </w:r>
      <w:r>
        <w:rPr>
          <w:rFonts w:hint="default"/>
          <w:iCs/>
          <w:sz w:val="24"/>
          <w:szCs w:val="24"/>
          <w:highlight w:val="red"/>
          <w:lang w:val="ru-RU"/>
        </w:rPr>
        <w:t xml:space="preserve"> постепенно объединяются в кластеры и начинают летать друг за другом </w:t>
      </w:r>
      <w:r>
        <w:rPr>
          <w:iCs/>
          <w:sz w:val="24"/>
          <w:szCs w:val="24"/>
          <w:highlight w:val="red"/>
        </w:rPr>
        <w:t>«</w:t>
      </w:r>
      <w:r>
        <w:rPr>
          <w:iCs/>
          <w:sz w:val="24"/>
          <w:szCs w:val="24"/>
          <w:highlight w:val="red"/>
          <w:lang w:val="ru-RU"/>
        </w:rPr>
        <w:t>по</w:t>
      </w:r>
      <w:r>
        <w:rPr>
          <w:rFonts w:hint="default"/>
          <w:iCs/>
          <w:sz w:val="24"/>
          <w:szCs w:val="24"/>
          <w:highlight w:val="red"/>
          <w:lang w:val="ru-RU"/>
        </w:rPr>
        <w:t xml:space="preserve"> </w:t>
      </w:r>
      <w:r>
        <w:rPr>
          <w:iCs/>
          <w:sz w:val="24"/>
          <w:szCs w:val="24"/>
          <w:highlight w:val="red"/>
          <w:lang w:val="ru-RU"/>
        </w:rPr>
        <w:t>цепочке</w:t>
      </w:r>
      <w:r>
        <w:rPr>
          <w:iCs/>
          <w:sz w:val="24"/>
          <w:szCs w:val="24"/>
          <w:highlight w:val="red"/>
        </w:rPr>
        <w:t>»</w:t>
      </w:r>
      <w:r>
        <w:rPr>
          <w:rFonts w:hint="default"/>
          <w:iCs/>
          <w:sz w:val="24"/>
          <w:szCs w:val="24"/>
          <w:highlight w:val="red"/>
          <w:lang w:val="ru-RU"/>
        </w:rPr>
        <w:t xml:space="preserve">, после чего все объединяются в один кластер. </w:t>
      </w:r>
      <w:r>
        <w:rPr>
          <w:iCs/>
          <w:sz w:val="24"/>
          <w:szCs w:val="24"/>
          <w:highlight w:val="red"/>
        </w:rPr>
        <w:t xml:space="preserve">Результат численных экспериментов </w:t>
      </w:r>
      <w:r>
        <w:rPr>
          <w:rFonts w:hint="default"/>
          <w:iCs/>
          <w:sz w:val="24"/>
          <w:szCs w:val="24"/>
          <w:highlight w:val="red"/>
          <w:lang w:val="ru-RU"/>
        </w:rPr>
        <w:t xml:space="preserve">(полная синхронизация агентов) </w:t>
      </w:r>
      <w:r>
        <w:rPr>
          <w:iCs/>
          <w:sz w:val="24"/>
          <w:szCs w:val="24"/>
          <w:highlight w:val="red"/>
        </w:rPr>
        <w:t>представлен на (Рис. 1</w:t>
      </w:r>
      <w:r>
        <w:rPr>
          <w:rFonts w:hint="default"/>
          <w:iCs/>
          <w:sz w:val="24"/>
          <w:szCs w:val="24"/>
          <w:highlight w:val="red"/>
          <w:lang w:val="ru-RU"/>
        </w:rPr>
        <w:t>а</w:t>
      </w:r>
      <w:r>
        <w:rPr>
          <w:iCs/>
          <w:sz w:val="24"/>
          <w:szCs w:val="24"/>
          <w:highlight w:val="red"/>
        </w:rPr>
        <w:t>).</w:t>
      </w:r>
    </w:p>
    <w:p>
      <w:pPr>
        <w:numPr>
          <w:ilvl w:val="0"/>
          <w:numId w:val="2"/>
        </w:numPr>
        <w:tabs>
          <w:tab w:val="clear" w:pos="425"/>
        </w:tabs>
        <w:spacing w:line="36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Параллельное движение агентов.</w:t>
      </w:r>
    </w:p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Для подобного движения помимо «притягивающей» связи из предыдущего пункта, необходимо добавить «отталкивающую» связь по координате </w:t>
      </w:r>
      <m:oMath>
        <m:r>
          <m:rPr/>
          <w:rPr>
            <w:rFonts w:hint="default" w:ascii="Cambria Math" w:hAnsi="Cambria Math" w:cs="Times New Roman"/>
            <w:sz w:val="24"/>
            <w:szCs w:val="24"/>
            <w:lang w:val="ru-RU" w:eastAsia="en-US" w:bidi="ar-SA"/>
          </w:rPr>
          <m:t>x</m:t>
        </m:r>
      </m:oMath>
      <w:r>
        <w:rPr>
          <w:iCs/>
          <w:sz w:val="24"/>
          <w:szCs w:val="24"/>
        </w:rPr>
        <w:t>:</w:t>
      </w:r>
    </w:p>
    <w:tbl>
      <w:tblPr>
        <w:tblStyle w:val="5"/>
        <w:tblW w:w="93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7245"/>
        <w:gridCol w:w="10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bottom"/>
          </w:tcPr>
          <w:p>
            <w:pPr>
              <w:spacing w:after="0" w:line="360" w:lineRule="auto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Calibr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+ </m:t>
                        </m:r>
                        <m:nary>
                          <m:naryPr>
                            <m:chr m:val="∑"/>
                            <m:limLoc m:val="subSup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  <m:sup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nary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+ </m:t>
                        </m:r>
                        <m:nary>
                          <m:naryPr>
                            <m:chr m:val="∑"/>
                            <m:limLoc m:val="subSup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  <m:sup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d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i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 xml:space="preserve"> −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j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</m:d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+ </m:t>
                        </m:r>
                        <m:nary>
                          <m:naryPr>
                            <m:chr m:val="∑"/>
                            <m:limLoc m:val="subSup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  <m:sup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c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 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1,N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>
            <w:pPr>
              <w:spacing w:after="0" w:line="360" w:lineRule="auto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</w:tbl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При сближении </w:t>
      </w:r>
      <m:oMath>
        <m:r>
          <m:rPr/>
          <w:rPr>
            <w:rFonts w:ascii="Cambria Math" w:hAnsi="Cambria Math"/>
            <w:sz w:val="24"/>
            <w:szCs w:val="24"/>
            <w:lang w:val="en-US"/>
          </w:rPr>
          <m:t>i</m:t>
        </m:r>
      </m:oMath>
      <w:r>
        <w:rPr>
          <w:iCs/>
          <w:sz w:val="24"/>
          <w:szCs w:val="24"/>
        </w:rPr>
        <w:t xml:space="preserve">-го и </w:t>
      </w:r>
      <m:oMath>
        <m:r>
          <m:rPr/>
          <w:rPr>
            <w:rFonts w:ascii="Cambria Math" w:hAnsi="Cambria Math"/>
            <w:sz w:val="24"/>
            <w:szCs w:val="24"/>
            <w:lang w:val="en-US"/>
          </w:rPr>
          <m:t>j</m:t>
        </m:r>
      </m:oMath>
      <w:r>
        <w:rPr>
          <w:iCs/>
          <w:sz w:val="24"/>
          <w:szCs w:val="24"/>
        </w:rPr>
        <w:t xml:space="preserve">-го агентов данная связь обеспечит противоположно направленные силы, что приведёт агентов к отталкиванию. </w:t>
      </w:r>
      <w:r>
        <w:rPr>
          <w:iCs/>
          <w:sz w:val="24"/>
          <w:szCs w:val="24"/>
          <w:highlight w:val="red"/>
          <w:lang w:val="ru-RU"/>
        </w:rPr>
        <w:t>За</w:t>
      </w:r>
      <w:r>
        <w:rPr>
          <w:rFonts w:hint="default"/>
          <w:iCs/>
          <w:sz w:val="24"/>
          <w:szCs w:val="24"/>
          <w:highlight w:val="red"/>
          <w:lang w:val="ru-RU"/>
        </w:rPr>
        <w:t xml:space="preserve"> счёт </w:t>
      </w:r>
      <w:r>
        <w:rPr>
          <w:iCs/>
          <w:sz w:val="24"/>
          <w:szCs w:val="24"/>
          <w:highlight w:val="red"/>
        </w:rPr>
        <w:t>«отталкивающ</w:t>
      </w:r>
      <w:r>
        <w:rPr>
          <w:iCs/>
          <w:sz w:val="24"/>
          <w:szCs w:val="24"/>
          <w:highlight w:val="red"/>
          <w:lang w:val="ru-RU"/>
        </w:rPr>
        <w:t>ей</w:t>
      </w:r>
      <w:r>
        <w:rPr>
          <w:iCs/>
          <w:sz w:val="24"/>
          <w:szCs w:val="24"/>
          <w:highlight w:val="red"/>
        </w:rPr>
        <w:t xml:space="preserve">» </w:t>
      </w:r>
      <w:r>
        <w:rPr>
          <w:iCs/>
          <w:sz w:val="24"/>
          <w:szCs w:val="24"/>
          <w:highlight w:val="red"/>
          <w:lang w:val="ru-RU"/>
        </w:rPr>
        <w:t>связи</w:t>
      </w:r>
      <w:r>
        <w:rPr>
          <w:rFonts w:hint="default"/>
          <w:iCs/>
          <w:sz w:val="24"/>
          <w:szCs w:val="24"/>
          <w:highlight w:val="red"/>
          <w:lang w:val="ru-RU"/>
        </w:rPr>
        <w:t xml:space="preserve"> элементы начинают лететь одним рядом, параллельно друг другу. </w:t>
      </w:r>
      <w:r>
        <w:rPr>
          <w:iCs/>
          <w:sz w:val="24"/>
          <w:szCs w:val="24"/>
          <w:highlight w:val="red"/>
        </w:rPr>
        <w:t xml:space="preserve">Поведение элементов при данной связи проиллюстрировано на (Рис. </w:t>
      </w:r>
      <w:r>
        <w:rPr>
          <w:rFonts w:hint="default"/>
          <w:iCs/>
          <w:sz w:val="24"/>
          <w:szCs w:val="24"/>
          <w:highlight w:val="red"/>
          <w:lang w:val="ru-RU"/>
        </w:rPr>
        <w:t>1б</w:t>
      </w:r>
      <w:r>
        <w:rPr>
          <w:iCs/>
          <w:sz w:val="24"/>
          <w:szCs w:val="24"/>
          <w:highlight w:val="red"/>
        </w:rPr>
        <w:t>).</w:t>
      </w:r>
    </w:p>
    <w:p>
      <w:pPr>
        <w:numPr>
          <w:ilvl w:val="0"/>
          <w:numId w:val="2"/>
        </w:numPr>
        <w:tabs>
          <w:tab w:val="clear" w:pos="425"/>
        </w:tabs>
        <w:spacing w:line="36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Придание рою мобильных агентов структуры различных геометрических форм.</w:t>
      </w:r>
    </w:p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В данном разделе мы использ</w:t>
      </w:r>
      <w:r>
        <w:rPr>
          <w:rFonts w:hint="default"/>
          <w:iCs/>
          <w:sz w:val="24"/>
          <w:szCs w:val="24"/>
          <w:lang w:val="ru-RU"/>
        </w:rPr>
        <w:t>уем</w:t>
      </w:r>
      <w:r>
        <w:rPr>
          <w:iCs/>
          <w:sz w:val="24"/>
          <w:szCs w:val="24"/>
        </w:rPr>
        <w:t xml:space="preserve"> определённые комбинации связей последовательного и параллельного движения для получения структур различной геометрической формы (прямоугольник, круг, треугольник и др.) Не теряя общности, рассмотрим конфигурацию типа «прямоугольник».</w:t>
      </w:r>
    </w:p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Для организации подобного движения введём</w:t>
      </w:r>
      <w:r>
        <w:rPr>
          <w:rFonts w:hint="default"/>
          <w:iCs/>
          <w:sz w:val="24"/>
          <w:szCs w:val="24"/>
          <w:lang w:val="ru-RU"/>
        </w:rPr>
        <w:t xml:space="preserve"> параметры</w:t>
      </w:r>
      <w:r>
        <w:rPr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str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</m:oMath>
      <w:r>
        <w:rPr>
          <w:rFonts w:hAnsi="Cambria Math"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col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</m:oMath>
      <w:r>
        <w:rPr>
          <w:rFonts w:hAnsi="Cambria Math"/>
          <w:iCs/>
          <w:sz w:val="24"/>
          <w:szCs w:val="24"/>
        </w:rPr>
        <w:t xml:space="preserve">  </w:t>
      </w:r>
      <w:r>
        <w:rPr>
          <w:iCs/>
          <w:sz w:val="24"/>
          <w:szCs w:val="24"/>
        </w:rPr>
        <w:t>— число элементов в одной строке и одном столбце соответственно. Тогда для каждой отдельной строки нам нужно добавить «отталкивающую» связь. В то же время нам нужно связать строку с соседними строками «притягивающей» связью:</w:t>
      </w:r>
    </w:p>
    <w:tbl>
      <w:tblPr>
        <w:tblStyle w:val="5"/>
        <w:tblW w:w="93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7245"/>
        <w:gridCol w:w="10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bottom"/>
          </w:tcPr>
          <w:p>
            <w:pPr>
              <w:spacing w:after="0" w:line="360" w:lineRule="auto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Calibr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 xml:space="preserve"> j = s(i)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 xml:space="preserve"> s(i) 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str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−1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j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−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i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e>
                                </m:d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d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 xml:space="preserve"> −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/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/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j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ub>
                                        </m:sSub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</m:d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en>
                                </m:f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nary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grid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+ 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 xml:space="preserve"> j =max(0; s(i) −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str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)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  <m:sup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 xml:space="preserve">min(N; s(i) +2∙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str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−1)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p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j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nary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 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grid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c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 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ℎ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grid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>
            <w:pPr>
              <w:spacing w:after="0" w:line="360" w:lineRule="auto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</w:tbl>
    <w:p>
      <w:pPr>
        <w:spacing w:line="360" w:lineRule="auto"/>
        <w:ind w:firstLine="284"/>
        <w:jc w:val="both"/>
        <w:rPr>
          <w:rFonts w:hAnsi="Cambria Math"/>
          <w:iCs/>
          <w:sz w:val="24"/>
          <w:szCs w:val="24"/>
        </w:rPr>
      </w:pPr>
      <w:r>
        <w:rPr>
          <w:iCs/>
          <w:sz w:val="24"/>
          <w:szCs w:val="24"/>
        </w:rPr>
        <w:t xml:space="preserve">где </w:t>
      </w:r>
      <m:oMath>
        <m:r>
          <m:rPr/>
          <w:rPr>
            <w:rFonts w:ascii="Cambria Math" w:hAnsi="Cambria Math"/>
            <w:sz w:val="24"/>
            <w:szCs w:val="24"/>
            <w:lang w:val="en-US"/>
          </w:rPr>
          <m:t>i</m:t>
        </m:r>
        <m:r>
          <m:rPr/>
          <w:rPr>
            <w:rFonts w:ascii="Cambria Math" w:hAnsi="Cambria Math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m:rPr/>
              <w:rPr>
                <w:rFonts w:ascii="Cambria Math" w:hAnsi="Cambria Math"/>
                <w:sz w:val="24"/>
                <w:szCs w:val="24"/>
              </w:rPr>
              <m:t>1,</m:t>
            </m:r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acc>
      </m:oMath>
      <w:r>
        <w:rPr>
          <w:rFonts w:hAnsi="Cambria Math"/>
          <w:sz w:val="24"/>
          <w:szCs w:val="24"/>
        </w:rPr>
        <w:t>,</w:t>
      </w:r>
      <w:r>
        <w:rPr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str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cs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col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 xml:space="preserve"> = </m:t>
        </m:r>
        <m:r>
          <m:rPr/>
          <w:rPr>
            <w:rFonts w:ascii="Cambria Math" w:hAnsi="Cambria Math"/>
            <w:sz w:val="24"/>
            <w:szCs w:val="24"/>
            <w:lang w:val="en-US"/>
          </w:rPr>
          <m:t>N</m:t>
        </m:r>
      </m:oMath>
      <w:r>
        <w:rPr>
          <w:rFonts w:hAnsi="Cambria Math"/>
          <w:iCs/>
          <w:sz w:val="24"/>
          <w:szCs w:val="24"/>
        </w:rPr>
        <w:t xml:space="preserve">, </w:t>
      </w:r>
      <m:oMath>
        <m:r>
          <m:rPr/>
          <w:rPr>
            <w:rFonts w:ascii="Cambria Math" w:hAnsi="Cambria Math"/>
            <w:sz w:val="24"/>
            <w:szCs w:val="24"/>
            <w:lang w:val="en-US"/>
          </w:rPr>
          <m:t>s</m:t>
        </m:r>
        <m:r>
          <m:rPr/>
          <w:rPr>
            <w:rFonts w:ascii="Cambria Math" w:hAnsi="Cambria Math"/>
            <w:sz w:val="24"/>
            <w:szCs w:val="24"/>
          </w:rPr>
          <m:t>(</m:t>
        </m:r>
        <m:r>
          <m:rPr/>
          <w:rPr>
            <w:rFonts w:ascii="Cambria Math" w:hAnsi="Cambria Math"/>
            <w:sz w:val="24"/>
            <w:szCs w:val="24"/>
            <w:lang w:val="en-US"/>
          </w:rPr>
          <m:t>i</m:t>
        </m:r>
        <m:r>
          <m:rPr/>
          <w:rPr>
            <w:rFonts w:ascii="Cambria Math" w:hAnsi="Cambria Math"/>
            <w:sz w:val="24"/>
            <w:szCs w:val="24"/>
          </w:rPr>
          <m:t>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d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/>
              <w:rPr>
                <w:rFonts w:ascii="Cambria Math" w:hAnsi="Cambria Math"/>
                <w:sz w:val="24"/>
                <w:szCs w:val="24"/>
              </w:rPr>
              <m:t xml:space="preserve"> − </m:t>
            </m:r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/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mod</m:t>
            </m:r>
            <m:r>
              <m:rPr/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str</m:t>
                </m: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  <w:szCs w:val="24"/>
              </w:rPr>
              <m:t>) + 1</m:t>
            </m: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iCs/>
          <w:sz w:val="24"/>
          <w:szCs w:val="24"/>
        </w:rPr>
        <w:t>—</w:t>
      </w:r>
      <w:r>
        <w:rPr>
          <w:rFonts w:hAnsi="Cambria Math"/>
          <w:iCs/>
          <w:sz w:val="24"/>
          <w:szCs w:val="24"/>
        </w:rPr>
        <w:t xml:space="preserve"> первый элемент текущей строки для элемента </w:t>
      </w:r>
      <m:oMath>
        <m:r>
          <m:rPr/>
          <w:rPr>
            <w:rFonts w:ascii="Cambria Math" w:hAnsi="Cambria Math"/>
            <w:sz w:val="24"/>
            <w:szCs w:val="24"/>
          </w:rPr>
          <m:t xml:space="preserve"> </m:t>
        </m:r>
        <m:r>
          <m:rPr/>
          <w:rPr>
            <w:rFonts w:ascii="Cambria Math" w:hAnsi="Cambria Math"/>
            <w:sz w:val="24"/>
            <w:szCs w:val="24"/>
            <w:lang w:val="en-US"/>
          </w:rPr>
          <m:t>i</m:t>
        </m:r>
      </m:oMath>
      <w:r>
        <w:rPr>
          <w:rFonts w:hAnsi="Cambria Math"/>
          <w:sz w:val="24"/>
          <w:szCs w:val="24"/>
        </w:rPr>
        <w:t xml:space="preserve">, </w:t>
      </w:r>
      <m:oMath>
        <m:r>
          <m:rPr/>
          <w:rPr>
            <w:rFonts w:ascii="Cambria Math" w:hAnsi="Cambria Math"/>
            <w:sz w:val="24"/>
            <w:szCs w:val="24"/>
            <w:lang w:val="en-US"/>
          </w:rPr>
          <m:t>i</m:t>
        </m:r>
        <m:r>
          <m:rPr/>
          <w:rPr>
            <w:rFonts w:ascii="Cambria Math" w:hAnsi="Cambria Math"/>
            <w:sz w:val="24"/>
            <w:szCs w:val="24"/>
          </w:rPr>
          <m:t xml:space="preserve"> </m:t>
        </m:r>
        <m:r>
          <m:rPr/>
          <w:rPr>
            <w:rFonts w:ascii="Cambria Math" w:hAnsi="Cambria Math"/>
            <w:sz w:val="24"/>
            <w:szCs w:val="24"/>
            <w:lang w:val="en-US"/>
          </w:rPr>
          <m:t>mod</m:t>
        </m:r>
        <m:r>
          <m:rPr/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str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)</m:t>
        </m:r>
      </m:oMath>
      <w:r>
        <w:rPr>
          <w:rFonts w:hAnsi="Cambria Math"/>
          <w:sz w:val="24"/>
          <w:szCs w:val="24"/>
        </w:rPr>
        <w:t xml:space="preserve"> </w:t>
      </w:r>
      <w:r>
        <w:rPr>
          <w:iCs/>
          <w:sz w:val="24"/>
          <w:szCs w:val="24"/>
        </w:rPr>
        <w:t>—</w:t>
      </w:r>
      <w:r>
        <w:rPr>
          <w:rFonts w:hAnsi="Cambria Math"/>
          <w:sz w:val="24"/>
          <w:szCs w:val="24"/>
        </w:rPr>
        <w:t xml:space="preserve"> остаток от деления </w:t>
      </w:r>
      <m:oMath>
        <m:r>
          <m:rPr/>
          <w:rPr>
            <w:rFonts w:ascii="Cambria Math" w:hAnsi="Cambria Math"/>
            <w:sz w:val="24"/>
            <w:szCs w:val="24"/>
          </w:rPr>
          <m:t>i</m:t>
        </m:r>
      </m:oMath>
      <w:r>
        <w:rPr>
          <w:rFonts w:hAnsi="Cambria Math"/>
          <w:iCs/>
          <w:sz w:val="24"/>
          <w:szCs w:val="24"/>
        </w:rPr>
        <w:t xml:space="preserve"> на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  <w:lang w:val="en-US"/>
              </w:rPr>
              <m:t>str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ub>
        </m:sSub>
      </m:oMath>
      <w:r>
        <w:rPr>
          <w:rFonts w:hAnsi="Cambria Math"/>
          <w:iCs/>
          <w:sz w:val="24"/>
          <w:szCs w:val="24"/>
        </w:rPr>
        <w:t>.</w:t>
      </w:r>
    </w:p>
    <w:p>
      <w:pPr>
        <w:spacing w:line="360" w:lineRule="auto"/>
        <w:ind w:firstLine="284"/>
        <w:jc w:val="both"/>
        <w:rPr>
          <w:rFonts w:hint="default" w:hAnsi="Cambria Math"/>
          <w:iCs/>
          <w:sz w:val="24"/>
          <w:szCs w:val="24"/>
          <w:highlight w:val="red"/>
          <w:lang w:val="ru-RU"/>
        </w:rPr>
      </w:pPr>
      <w:r>
        <w:rPr>
          <w:rFonts w:hAnsi="Cambria Math"/>
          <w:iCs/>
          <w:sz w:val="24"/>
          <w:szCs w:val="24"/>
          <w:highlight w:val="red"/>
          <w:lang w:val="ru-RU"/>
        </w:rPr>
        <w:t>С</w:t>
      </w:r>
      <w:r>
        <w:rPr>
          <w:rFonts w:hint="default" w:hAnsi="Cambria Math"/>
          <w:iCs/>
          <w:sz w:val="24"/>
          <w:szCs w:val="24"/>
          <w:highlight w:val="red"/>
          <w:lang w:val="ru-RU"/>
        </w:rPr>
        <w:t xml:space="preserve"> течением времени агенты синхронизируются в группы, затем объединяются в один кластер и движутся подобно иллюстрации (Рис. 1в).</w:t>
      </w:r>
    </w:p>
    <w:p>
      <w:pPr>
        <w:pStyle w:val="3"/>
      </w:pPr>
      <w:r>
        <w:t>Анализ влияния нарушения межэлементных связей.</w:t>
      </w:r>
    </w:p>
    <w:p>
      <w:pPr>
        <w:spacing w:line="360" w:lineRule="auto"/>
        <w:ind w:firstLine="284"/>
        <w:jc w:val="both"/>
      </w:pPr>
      <w:r>
        <w:rPr>
          <w:iCs/>
          <w:sz w:val="24"/>
          <w:szCs w:val="24"/>
        </w:rPr>
        <w:t>В данном эксперименте мы экспериментально рассматриваем зависимости структурной устойчивости ансамбля при удалении из него части агентов.</w:t>
      </w:r>
    </w:p>
    <w:p>
      <w:pPr>
        <w:numPr>
          <w:ilvl w:val="0"/>
          <w:numId w:val="3"/>
        </w:numPr>
        <w:spacing w:line="36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Удаление элементов из центра роя.</w:t>
      </w:r>
    </w:p>
    <w:p>
      <w:pPr>
        <w:spacing w:line="360" w:lineRule="auto"/>
        <w:ind w:firstLine="284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Путём численных экспериментов было обнаружено, что при любой структуре роя существует критическое значение числа удалённых агентов, при котором структура разбивается на несколько кластеров</w:t>
      </w:r>
      <w:r>
        <w:rPr>
          <w:rFonts w:hint="default" w:eastAsia="Times New Roman"/>
          <w:sz w:val="24"/>
          <w:szCs w:val="24"/>
          <w:lang w:val="ru-RU"/>
        </w:rPr>
        <w:t>.</w:t>
      </w:r>
      <w:r>
        <w:rPr>
          <w:rFonts w:hint="default" w:eastAsia="Times New Roman"/>
          <w:sz w:val="24"/>
          <w:szCs w:val="24"/>
          <w:highlight w:val="red"/>
          <w:lang w:val="ru-RU"/>
        </w:rPr>
        <w:t xml:space="preserve"> В результате экспериментов на структуре 10х10 при удалении 12 элементов </w:t>
      </w:r>
      <w:r>
        <w:rPr>
          <w:rFonts w:eastAsia="Times New Roman"/>
          <w:sz w:val="24"/>
          <w:szCs w:val="24"/>
          <w:highlight w:val="red"/>
        </w:rPr>
        <w:t xml:space="preserve"> </w:t>
      </w:r>
      <w:r>
        <w:rPr>
          <w:rFonts w:hint="default" w:eastAsia="Times New Roman"/>
          <w:sz w:val="24"/>
          <w:szCs w:val="24"/>
          <w:highlight w:val="red"/>
          <w:lang w:val="ru-RU"/>
        </w:rPr>
        <w:t xml:space="preserve">уже наступает разделение структуры на два кластера </w:t>
      </w:r>
      <w:r>
        <w:rPr>
          <w:rFonts w:eastAsia="Times New Roman"/>
          <w:sz w:val="24"/>
          <w:szCs w:val="24"/>
          <w:highlight w:val="red"/>
        </w:rPr>
        <w:t>(Таблица 1).</w:t>
      </w:r>
    </w:p>
    <w:p>
      <w:pPr>
        <w:numPr>
          <w:ilvl w:val="0"/>
          <w:numId w:val="3"/>
        </w:numPr>
        <w:spacing w:line="36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Удаление элементов из случайных позиций.</w:t>
      </w:r>
    </w:p>
    <w:p>
      <w:pPr>
        <w:spacing w:line="360" w:lineRule="auto"/>
        <w:ind w:firstLine="284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В данном эксперименте элементы удаляются из случайных позиций. Теперь количество объединённых групп агентов зависит не только от числа удалённых элементов, но и от их позиций. Не трудно увидеть по системе (5), что при удалении целой строки агентов глобальная связь ансамбля теряется и рой разобьётся как минимум на две части - до и после удалённой строки. </w:t>
      </w:r>
      <w:r>
        <w:rPr>
          <w:rFonts w:eastAsia="Times New Roman"/>
          <w:sz w:val="24"/>
          <w:szCs w:val="24"/>
          <w:highlight w:val="red"/>
          <w:lang w:val="ru-RU"/>
        </w:rPr>
        <w:t>В</w:t>
      </w:r>
      <w:r>
        <w:rPr>
          <w:rFonts w:hint="default" w:eastAsia="Times New Roman"/>
          <w:sz w:val="24"/>
          <w:szCs w:val="24"/>
          <w:highlight w:val="red"/>
          <w:lang w:val="ru-RU"/>
        </w:rPr>
        <w:t xml:space="preserve"> результате наших экспериментов при структуре 10х10 эл. разбиение на кластеры получилось уже при удалении 45 элементов</w:t>
      </w:r>
      <w:r>
        <w:rPr>
          <w:rFonts w:eastAsia="Times New Roman"/>
          <w:sz w:val="24"/>
          <w:szCs w:val="24"/>
          <w:highlight w:val="red"/>
        </w:rPr>
        <w:t xml:space="preserve"> (Таблица 2).</w:t>
      </w:r>
    </w:p>
    <w:p>
      <w:pPr>
        <w:pStyle w:val="3"/>
        <w:rPr>
          <w:rFonts w:cs="Times New Roman"/>
          <w:iCs/>
          <w:sz w:val="24"/>
          <w:szCs w:val="24"/>
        </w:rPr>
      </w:pPr>
      <w:r>
        <w:t>Управление роем.</w:t>
      </w:r>
    </w:p>
    <w:p>
      <w:pPr>
        <w:spacing w:line="360" w:lineRule="auto"/>
        <w:ind w:firstLine="284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Рассмотрим задачу деактивацию всех агентов и перемещение их в начало координат. Для этого помимо агентов, заданных системой (1), вводится ещё  один агент, который движется по заданной траектории. В качестве такого агента возьмём осциллятор Ван-дер-Поля</w:t>
      </w:r>
      <w:r>
        <w:rPr>
          <w:iCs/>
          <w:sz w:val="24"/>
          <w:szCs w:val="24"/>
          <w:lang w:val="en-US"/>
        </w:rPr>
        <w:t>:</w:t>
      </w:r>
    </w:p>
    <w:tbl>
      <w:tblPr>
        <w:tblStyle w:val="5"/>
        <w:tblW w:w="935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7474"/>
        <w:gridCol w:w="80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spacing w:after="0" w:line="360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474" w:type="dxa"/>
          </w:tcPr>
          <w:p>
            <w:pPr>
              <w:spacing w:after="0" w:line="360" w:lineRule="auto"/>
              <w:jc w:val="both"/>
              <w:rPr>
                <w:rFonts w:eastAsia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eastAsia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eastAsia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rFonts w:ascii="Cambria Math" w:hAnsi="Cambria Math" w:eastAsia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eastAsia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</m:acc>
                        <m:r>
                          <m:rPr/>
                          <w:rPr>
                            <w:rFonts w:ascii="Cambria Math" w:hAnsi="Cambria Math" w:eastAsia="Times New Roman"/>
                            <w:sz w:val="24"/>
                            <w:szCs w:val="24"/>
                            <w:lang w:val="en-US"/>
                          </w:rPr>
                          <m:t>=−Y</m:t>
                        </m:r>
                        <m:ctrlPr>
                          <w:rPr>
                            <w:rFonts w:ascii="Cambria Math" w:hAnsi="Cambria Math" w:eastAsia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eastAsia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rFonts w:ascii="Cambria Math" w:hAnsi="Cambria Math" w:eastAsia="Times New Roman"/>
                                <w:sz w:val="24"/>
                                <w:szCs w:val="24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 w:eastAsia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acc>
                        <m:r>
                          <m:rPr/>
                          <w:rPr>
                            <w:rFonts w:ascii="Cambria Math" w:hAnsi="Cambria Math" w:eastAsia="Times New Roman"/>
                            <w:sz w:val="24"/>
                            <w:szCs w:val="24"/>
                          </w:rPr>
                          <m:t>=WX+μ</m:t>
                        </m:r>
                        <m:d>
                          <m:dPr>
                            <m:ctrlPr>
                              <w:rPr>
                                <w:rFonts w:ascii="Cambria Math" w:hAnsi="Cambria Math" w:eastAsia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 w:eastAsia="Times New Roman"/>
                                <w:sz w:val="24"/>
                                <w:szCs w:val="24"/>
                              </w:rPr>
                              <m:t>1−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eastAsia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ascii="Cambria Math" w:hAnsi="Cambria Math" w:eastAsia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 w:eastAsia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ascii="Cambria Math" w:hAnsi="Cambria Math" w:eastAsia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 w:eastAsia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hAnsi="Cambria Math" w:eastAsia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d>
                        <m:r>
                          <m:rPr/>
                          <w:rPr>
                            <w:rFonts w:ascii="Cambria Math" w:hAnsi="Cambria Math" w:eastAsia="Times New Roman"/>
                            <w:sz w:val="24"/>
                            <w:szCs w:val="24"/>
                          </w:rPr>
                          <m:t>Y</m:t>
                        </m:r>
                        <m:ctrlPr>
                          <w:rPr>
                            <w:rFonts w:ascii="Cambria Math" w:hAnsi="Cambria Math" w:eastAsia="Times New Roman"/>
                            <w:i/>
                            <w:sz w:val="24"/>
                            <w:szCs w:val="24"/>
                          </w:rPr>
                        </m:ctrlPr>
                      </m:e>
                    </m:eqArr>
                    <m:ctrlPr>
                      <w:rPr>
                        <w:rFonts w:ascii="Cambria Math" w:hAnsi="Cambria Math" w:eastAsia="Times New Roman"/>
                        <w:i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802" w:type="dxa"/>
            <w:vAlign w:val="center"/>
          </w:tcPr>
          <w:p>
            <w:pPr>
              <w:spacing w:after="0" w:line="360" w:lineRule="auto"/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(6)</w:t>
            </w:r>
          </w:p>
        </w:tc>
      </w:tr>
    </w:tbl>
    <w:p>
      <w:pPr>
        <w:spacing w:line="360" w:lineRule="auto"/>
        <w:ind w:firstLine="284"/>
        <w:jc w:val="both"/>
        <w:rPr>
          <w:rFonts w:hint="default" w:hAnsi="Cambria Math" w:eastAsia="Times New Roman"/>
          <w:sz w:val="24"/>
          <w:szCs w:val="24"/>
          <w:lang w:val="ru-RU"/>
        </w:rPr>
      </w:pPr>
      <w:r>
        <w:rPr>
          <w:iCs/>
          <w:sz w:val="24"/>
          <w:szCs w:val="24"/>
        </w:rPr>
        <w:t xml:space="preserve">где </w:t>
      </w:r>
      <m:oMath>
        <m:r>
          <m:rPr/>
          <w:rPr>
            <w:rFonts w:ascii="Cambria Math" w:hAnsi="Cambria Math" w:eastAsia="Times New Roman"/>
            <w:sz w:val="24"/>
            <w:szCs w:val="24"/>
          </w:rPr>
          <m:t>μ</m:t>
        </m:r>
      </m:oMath>
      <w:r>
        <w:rPr>
          <w:rFonts w:hAnsi="Cambria Math" w:eastAsia="Times New Roman"/>
          <w:sz w:val="24"/>
          <w:szCs w:val="24"/>
        </w:rPr>
        <w:t xml:space="preserve"> </w:t>
      </w:r>
      <w:r>
        <w:rPr>
          <w:iCs/>
          <w:sz w:val="24"/>
          <w:szCs w:val="24"/>
        </w:rPr>
        <w:t>- малый</w:t>
      </w:r>
      <w:r>
        <w:rPr>
          <w:rFonts w:hint="default"/>
          <w:iCs/>
          <w:sz w:val="24"/>
          <w:szCs w:val="24"/>
          <w:lang w:val="ru-RU"/>
        </w:rPr>
        <w:t xml:space="preserve"> отрицательный</w:t>
      </w:r>
      <w:r>
        <w:rPr>
          <w:iCs/>
          <w:sz w:val="24"/>
          <w:szCs w:val="24"/>
        </w:rPr>
        <w:t xml:space="preserve"> параметр,</w:t>
      </w:r>
      <w:r>
        <w:rPr>
          <w:rFonts w:hAnsi="Cambria Math" w:eastAsia="Times New Roman"/>
          <w:sz w:val="24"/>
          <w:szCs w:val="24"/>
        </w:rPr>
        <w:t xml:space="preserve"> </w:t>
      </w:r>
      <m:oMath>
        <m:r>
          <m:rPr/>
          <w:rPr>
            <w:rFonts w:ascii="Cambria Math" w:hAnsi="Cambria Math" w:eastAsia="Times New Roman"/>
            <w:sz w:val="24"/>
            <w:szCs w:val="24"/>
          </w:rPr>
          <m:t>W = 1</m:t>
        </m:r>
      </m:oMath>
      <w:r>
        <w:rPr>
          <w:rFonts w:hAnsi="Cambria Math" w:eastAsia="Times New Roman"/>
          <w:sz w:val="24"/>
          <w:szCs w:val="24"/>
        </w:rPr>
        <w:t>.</w:t>
      </w:r>
      <w:r>
        <w:rPr>
          <w:rFonts w:hint="default" w:hAnsi="Cambria Math" w:eastAsia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red"/>
          <w:lang w:val="ru-RU"/>
        </w:rPr>
        <w:t xml:space="preserve">При заданном наборе параметров система (6) имеет единственный аттрактор - устойчивое состояние равновесия в точке (0,0). Именно в эту точку должен прийти весь ансамбль. Чем меньше параметр </w:t>
      </w:r>
      <m:oMath>
        <m:r>
          <m:rPr/>
          <w:rPr>
            <w:rFonts w:ascii="Cambria Math" w:hAnsi="Cambria Math" w:eastAsia="Times New Roman"/>
            <w:sz w:val="24"/>
            <w:szCs w:val="24"/>
            <w:highlight w:val="red"/>
          </w:rPr>
          <m:t>μ</m:t>
        </m:r>
      </m:oMath>
      <w:r>
        <m:rPr/>
        <w:rPr>
          <w:rFonts w:hint="default" w:hAnsi="Cambria Math" w:eastAsia="Times New Roman"/>
          <w:i w:val="0"/>
          <w:sz w:val="24"/>
          <w:szCs w:val="24"/>
          <w:highlight w:val="red"/>
          <w:lang w:val="en-US"/>
        </w:rPr>
        <w:t xml:space="preserve">, </w:t>
      </w:r>
      <w:r>
        <m:rPr/>
        <w:rPr>
          <w:rFonts w:hint="default" w:ascii="Times New Roman" w:hAnsi="Times New Roman" w:eastAsia="Times New Roman" w:cs="Times New Roman"/>
          <w:sz w:val="24"/>
          <w:szCs w:val="24"/>
          <w:highlight w:val="red"/>
          <w:lang w:val="ru-RU"/>
        </w:rPr>
        <w:t xml:space="preserve">тем быстрее ансамбль попадает в заданную точку. </w:t>
      </w:r>
      <w:r>
        <w:rPr>
          <w:rFonts w:hint="default" w:ascii="Times New Roman" w:hAnsi="Times New Roman" w:eastAsia="Times New Roman" w:cs="Times New Roman"/>
          <w:sz w:val="24"/>
          <w:szCs w:val="24"/>
          <w:highlight w:val="red"/>
          <w:lang w:val="ru-RU"/>
        </w:rPr>
        <w:t xml:space="preserve">Очевидно, что управляющая траектория может быть любой. Это может быть заданное регулярное или хаотическое движение. </w:t>
      </w:r>
    </w:p>
    <w:p>
      <w:pPr>
        <w:spacing w:line="360" w:lineRule="auto"/>
        <w:ind w:firstLine="284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Для остальных агентов возьмём уравнение (5) и добавим всем элементам связь с уравнением Ван-дер-Поля следующим образом:</w:t>
      </w:r>
    </w:p>
    <w:tbl>
      <w:tblPr>
        <w:tblStyle w:val="5"/>
        <w:tblW w:w="93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7245"/>
        <w:gridCol w:w="105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938" w:type="dxa"/>
            <w:vAlign w:val="bottom"/>
          </w:tcPr>
          <w:p>
            <w:pPr>
              <w:spacing w:after="0" w:line="360" w:lineRule="auto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Calibri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grid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=</m:t>
                        </m:r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grid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z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ℎ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grid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eqArr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+ </m:t>
                    </m:r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 xml:space="preserve">, 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1,N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>
            <w:pPr>
              <w:spacing w:after="0" w:line="360" w:lineRule="auto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</w:tbl>
    <w:p>
      <w:pPr>
        <w:spacing w:line="360" w:lineRule="auto"/>
        <w:ind w:firstLine="284"/>
        <w:jc w:val="both"/>
        <w:rPr>
          <w:rFonts w:hint="default"/>
          <w:iCs/>
          <w:sz w:val="24"/>
          <w:szCs w:val="24"/>
          <w:lang w:val="ru-RU"/>
        </w:rPr>
      </w:pPr>
      <w:r>
        <w:rPr>
          <w:rFonts w:eastAsia="Times New Roman"/>
          <w:sz w:val="24"/>
          <w:szCs w:val="24"/>
        </w:rPr>
        <w:t>где связь</w:t>
      </w:r>
      <w:r>
        <w:rPr>
          <w:rFonts w:hAnsi="Cambria Math" w:eastAsia="Times New Roman"/>
          <w:sz w:val="24"/>
          <w:szCs w:val="24"/>
        </w:rPr>
        <w:t xml:space="preserve"> </w:t>
      </w:r>
      <m:oMath>
        <m:r>
          <m:rPr/>
          <w:rPr>
            <w:rFonts w:ascii="Cambria Math" w:hAnsi="Cambria Math"/>
            <w:sz w:val="24"/>
            <w:szCs w:val="24"/>
            <w:lang w:val="en-US"/>
          </w:rPr>
          <m:t>D</m:t>
        </m:r>
      </m:oMath>
      <w:r>
        <w:rPr>
          <w:rFonts w:hAnsi="Cambria Math"/>
          <w:sz w:val="24"/>
          <w:szCs w:val="24"/>
        </w:rPr>
        <w:t xml:space="preserve"> </w:t>
      </w:r>
      <w:r>
        <w:rPr>
          <w:sz w:val="24"/>
          <w:szCs w:val="24"/>
        </w:rPr>
        <w:t xml:space="preserve">работает аналогично связи </w:t>
      </w:r>
      <m:oMath>
        <m:r>
          <m:rPr/>
          <w:rPr>
            <w:rFonts w:ascii="Cambria Math" w:hAnsi="Cambria Math"/>
            <w:sz w:val="24"/>
            <w:szCs w:val="24"/>
          </w:rPr>
          <m:t>d</m:t>
        </m:r>
      </m:oMath>
      <w:r>
        <w:rPr>
          <w:rFonts w:hAnsi="Cambria Math"/>
          <w:iCs/>
          <w:sz w:val="24"/>
          <w:szCs w:val="24"/>
        </w:rPr>
        <w:t xml:space="preserve">, </w:t>
      </w:r>
      <w:r>
        <w:rPr>
          <w:iCs/>
          <w:sz w:val="24"/>
          <w:szCs w:val="24"/>
        </w:rPr>
        <w:t>но при сближении мобильного агента с агентом, движущимся согласно уравнению Ван-дер-Поля.</w:t>
      </w:r>
      <w:r>
        <w:rPr>
          <w:iCs/>
          <w:sz w:val="24"/>
          <w:szCs w:val="24"/>
          <w:lang w:val="en-US"/>
        </w:rPr>
        <w:t xml:space="preserve"> </w:t>
      </w:r>
      <w:r>
        <w:rPr>
          <w:iCs/>
          <w:sz w:val="24"/>
          <w:szCs w:val="24"/>
          <w:highlight w:val="red"/>
          <w:lang w:val="ru-RU"/>
        </w:rPr>
        <w:t>В</w:t>
      </w:r>
      <w:r>
        <w:rPr>
          <w:rFonts w:hint="default"/>
          <w:iCs/>
          <w:sz w:val="24"/>
          <w:szCs w:val="24"/>
          <w:highlight w:val="red"/>
          <w:lang w:val="ru-RU"/>
        </w:rPr>
        <w:t xml:space="preserve"> результате все агенты приходят в окрестность состояния равновесия (Рис. 2).</w:t>
      </w:r>
    </w:p>
    <w:p>
      <w:pPr>
        <w:spacing w:line="360" w:lineRule="auto"/>
        <w:ind w:firstLine="284"/>
        <w:jc w:val="both"/>
        <w:rPr>
          <w:rFonts w:eastAsia="Times New Roman"/>
          <w:sz w:val="24"/>
          <w:szCs w:val="24"/>
        </w:rPr>
      </w:pPr>
      <w:r>
        <w:rPr>
          <w:iCs/>
          <w:sz w:val="24"/>
          <w:szCs w:val="24"/>
        </w:rPr>
        <w:t xml:space="preserve">В результате исследования </w:t>
      </w:r>
      <w:r>
        <w:rPr>
          <w:iCs/>
          <w:sz w:val="24"/>
          <w:szCs w:val="24"/>
          <w:lang w:val="ru-RU"/>
        </w:rPr>
        <w:t>синхронизацие</w:t>
      </w:r>
      <w:r>
        <w:rPr>
          <w:rFonts w:hint="default"/>
          <w:iCs/>
          <w:sz w:val="24"/>
          <w:szCs w:val="24"/>
          <w:lang w:val="ru-RU"/>
        </w:rPr>
        <w:t xml:space="preserve"> и </w:t>
      </w:r>
      <w:r>
        <w:rPr>
          <w:iCs/>
          <w:sz w:val="24"/>
          <w:szCs w:val="24"/>
        </w:rPr>
        <w:t xml:space="preserve">управления коллективной динамикой роя мобильных хаотических агентов на основе осциллятора Рёсслера, оказалось возможным получить заданные типы движений мобильных агентов в трехмерном пространстве: последовательное – один за другим на определенном расстоянии, которым можно управлять, параллельное – «единым фронтом», в виде заданных геометрических структур. Было рассмотрено влияние количества выбиваемые агентов из ансамбля (за счет разрыва межэлементных связей) на полученную структуру. Также продемонстрировано, что при помощи </w:t>
      </w:r>
      <w:r>
        <w:rPr>
          <w:rFonts w:eastAsia="Times New Roman"/>
          <w:sz w:val="24"/>
          <w:szCs w:val="24"/>
        </w:rPr>
        <w:t>«внешнего» агента возможно задать рою требуемую траекторию движения. Например, «посадить» рой в заданной точке.</w:t>
      </w:r>
    </w:p>
    <w:p>
      <w:pPr>
        <w:spacing w:line="360" w:lineRule="auto"/>
        <w:ind w:firstLine="284"/>
        <w:jc w:val="both"/>
        <w:rPr>
          <w:rFonts w:hint="default"/>
          <w:iCs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  <w:t>Работа</w:t>
      </w:r>
      <w:r>
        <w:rPr>
          <w:rFonts w:hint="default" w:eastAsia="Times New Roman"/>
          <w:sz w:val="24"/>
          <w:szCs w:val="24"/>
          <w:lang w:val="ru-RU"/>
        </w:rPr>
        <w:t xml:space="preserve"> выполнена при финансовой поддержке </w:t>
      </w:r>
      <w:r>
        <w:rPr>
          <w:iCs/>
          <w:sz w:val="24"/>
          <w:szCs w:val="24"/>
        </w:rPr>
        <w:t>грант</w:t>
      </w:r>
      <w:r>
        <w:rPr>
          <w:iCs/>
          <w:sz w:val="24"/>
          <w:szCs w:val="24"/>
          <w:lang w:val="ru-RU"/>
        </w:rPr>
        <w:t>а</w:t>
      </w:r>
      <w:r>
        <w:rPr>
          <w:iCs/>
          <w:sz w:val="24"/>
          <w:szCs w:val="24"/>
        </w:rPr>
        <w:t xml:space="preserve"> РНФ #23-12-00180</w:t>
      </w:r>
      <w:r>
        <w:rPr>
          <w:rFonts w:hint="default"/>
          <w:iCs/>
          <w:sz w:val="24"/>
          <w:szCs w:val="24"/>
          <w:lang w:val="ru-RU"/>
        </w:rPr>
        <w:t xml:space="preserve"> (задача синхронизации) и проекта </w:t>
      </w:r>
      <w:r>
        <w:rPr>
          <w:iCs/>
          <w:sz w:val="24"/>
          <w:szCs w:val="24"/>
        </w:rPr>
        <w:t>№ 0729-2020-0036</w:t>
      </w:r>
      <w:r>
        <w:rPr>
          <w:rFonts w:hint="default"/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</w:rPr>
        <w:t>Министерств</w:t>
      </w:r>
      <w:r>
        <w:rPr>
          <w:iCs/>
          <w:sz w:val="24"/>
          <w:szCs w:val="24"/>
          <w:lang w:val="ru-RU"/>
        </w:rPr>
        <w:t>а</w:t>
      </w:r>
      <w:r>
        <w:rPr>
          <w:iCs/>
          <w:sz w:val="24"/>
          <w:szCs w:val="24"/>
        </w:rPr>
        <w:t xml:space="preserve"> науки и высшего образования Российской Федерации</w:t>
      </w:r>
      <w:r>
        <w:rPr>
          <w:rFonts w:hint="default"/>
          <w:iCs/>
          <w:sz w:val="24"/>
          <w:szCs w:val="24"/>
          <w:lang w:val="ru-RU"/>
        </w:rPr>
        <w:t xml:space="preserve"> (задача управления).</w:t>
      </w:r>
    </w:p>
    <w:p>
      <w:pPr>
        <w:pStyle w:val="3"/>
        <w:rPr>
          <w:rFonts w:hint="default"/>
          <w:lang w:val="ru-RU"/>
        </w:rPr>
      </w:pPr>
      <w:r>
        <w:rPr>
          <w:lang w:val="ru-RU"/>
        </w:rPr>
        <w:t>Список</w:t>
      </w:r>
      <w:r>
        <w:rPr>
          <w:rFonts w:hint="default"/>
          <w:lang w:val="ru-RU"/>
        </w:rPr>
        <w:t xml:space="preserve"> литературы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[1] </w:t>
      </w:r>
      <w:r>
        <w:rPr>
          <w:rFonts w:eastAsia="Calibri"/>
          <w:sz w:val="24"/>
          <w:szCs w:val="24"/>
          <w:lang w:val="en-US" w:eastAsia="zh-CN"/>
        </w:rPr>
        <w:t>V. L.S. Freitas, S. Yanchuk, M. Zaks, Elbert E.N. Macau, Synchronization-based symmetric circular formations of mobile agents and the generation of chaotic trajectories, Communications in Nonlinear Science and Numerical Simulation, vol. 94 (2021), 105543, ISSN 1007-5704. DOI: 10.1016/j.cnsns.2020.105543.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[2] </w:t>
      </w:r>
      <w:r>
        <w:rPr>
          <w:rFonts w:eastAsia="Calibri"/>
          <w:sz w:val="24"/>
          <w:szCs w:val="24"/>
          <w:lang w:val="en-US" w:eastAsia="zh-CN"/>
        </w:rPr>
        <w:t>A. Barciś, C. Bettstetter, "Sandsbots: Robots That Sync and Swarm," in IEEE Access, vol. 8, pp. 218752-218764 (2020). DOI: 10.1109/ACCESS.2020.3041393.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[3] </w:t>
      </w:r>
      <w:r>
        <w:rPr>
          <w:rFonts w:eastAsia="Calibri"/>
          <w:sz w:val="24"/>
          <w:szCs w:val="24"/>
          <w:lang w:val="en-US" w:eastAsia="zh-CN"/>
        </w:rPr>
        <w:t>Ramírez-Ávila, G.M., Kurths, J., Depickère, S., Deneubourg, JL, Modeling Fireflies Synchronization. In: Macau, E. (eds) A Mathematical Modeling Approach from Nonlinear Dynamics to Complex Systems. Nonlinear Systems and Complexity, vol. 22. Springer, Cham (2019). DOI: 10.1007/978-3-319-78512-7_8.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[4] </w:t>
      </w:r>
      <w:r>
        <w:rPr>
          <w:rFonts w:eastAsia="Calibri"/>
          <w:sz w:val="24"/>
          <w:szCs w:val="24"/>
          <w:lang w:val="en-US" w:eastAsia="zh-CN"/>
        </w:rPr>
        <w:t>L. M. Pecora, T. L. Carroll; Synchronization of chaotic systems. Chaos </w:t>
      </w:r>
      <w:r>
        <w:rPr>
          <w:rFonts w:hint="default" w:eastAsia="Calibri"/>
          <w:sz w:val="24"/>
          <w:szCs w:val="24"/>
          <w:lang w:val="en-US" w:eastAsia="zh-CN"/>
        </w:rPr>
        <w:t>(</w:t>
      </w:r>
      <w:r>
        <w:rPr>
          <w:rFonts w:eastAsia="Calibri"/>
          <w:sz w:val="24"/>
          <w:szCs w:val="24"/>
          <w:lang w:val="en-US" w:eastAsia="zh-CN"/>
        </w:rPr>
        <w:t>2015</w:t>
      </w:r>
      <w:r>
        <w:rPr>
          <w:rFonts w:hint="default" w:eastAsia="Calibri"/>
          <w:sz w:val="24"/>
          <w:szCs w:val="24"/>
          <w:lang w:val="en-US" w:eastAsia="zh-CN"/>
        </w:rPr>
        <w:t>)</w:t>
      </w:r>
      <w:r>
        <w:rPr>
          <w:rFonts w:eastAsia="Calibri"/>
          <w:sz w:val="24"/>
          <w:szCs w:val="24"/>
          <w:lang w:val="en-US" w:eastAsia="zh-CN"/>
        </w:rPr>
        <w:t>; 25 (9): 097611. DOI: 10.1103/PhysRevE.99.042203.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[5] </w:t>
      </w:r>
      <w:r>
        <w:rPr>
          <w:rFonts w:eastAsia="Calibri"/>
          <w:sz w:val="24"/>
          <w:szCs w:val="24"/>
          <w:lang w:val="en-US" w:eastAsia="zh-CN"/>
        </w:rPr>
        <w:t>T. Weng, X. Chen, et al. Multiple moving agents on complex networks: From intermittent synchronization to complete synchronization, Physica A: Statistical Mechanics and its Applications, vol. 614, 2023, 128562, ISSN 0378-4371. DOI: 10.1016/j.physa.2023.128562.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[6] </w:t>
      </w:r>
      <w:r>
        <w:rPr>
          <w:rFonts w:eastAsia="Calibri"/>
          <w:sz w:val="24"/>
          <w:szCs w:val="24"/>
          <w:lang w:val="en-US" w:eastAsia="zh-CN"/>
        </w:rPr>
        <w:t xml:space="preserve">A. Arenas, A. Díaz-Guilera, et al. Synchronization in complex networks, Physics Reports, vol. 469, Issue 3, </w:t>
      </w:r>
      <w:r>
        <w:rPr>
          <w:rFonts w:hint="default" w:eastAsia="Calibri"/>
          <w:sz w:val="24"/>
          <w:szCs w:val="24"/>
          <w:lang w:val="en-US" w:eastAsia="zh-CN"/>
        </w:rPr>
        <w:t>(</w:t>
      </w:r>
      <w:r>
        <w:rPr>
          <w:rFonts w:eastAsia="Calibri"/>
          <w:sz w:val="24"/>
          <w:szCs w:val="24"/>
          <w:lang w:val="en-US" w:eastAsia="zh-CN"/>
        </w:rPr>
        <w:t>2008</w:t>
      </w:r>
      <w:r>
        <w:rPr>
          <w:rFonts w:hint="default" w:eastAsia="Calibri"/>
          <w:sz w:val="24"/>
          <w:szCs w:val="24"/>
          <w:lang w:val="en-US" w:eastAsia="zh-CN"/>
        </w:rPr>
        <w:t>)</w:t>
      </w:r>
      <w:r>
        <w:rPr>
          <w:rFonts w:eastAsia="Calibri"/>
          <w:sz w:val="24"/>
          <w:szCs w:val="24"/>
          <w:lang w:val="en-US" w:eastAsia="zh-CN"/>
        </w:rPr>
        <w:t xml:space="preserve">, </w:t>
      </w:r>
      <w:r>
        <w:rPr>
          <w:rFonts w:hint="default" w:eastAsia="Calibri"/>
          <w:sz w:val="24"/>
          <w:szCs w:val="24"/>
          <w:lang w:val="en-US" w:eastAsia="zh-CN"/>
        </w:rPr>
        <w:t xml:space="preserve">pp </w:t>
      </w:r>
      <w:r>
        <w:rPr>
          <w:rFonts w:eastAsia="Calibri"/>
          <w:sz w:val="24"/>
          <w:szCs w:val="24"/>
          <w:lang w:val="en-US" w:eastAsia="zh-CN"/>
        </w:rPr>
        <w:t>93-153, ISSN 0370-1573. DOI: 10.1016/j.physrep.2008.09.002.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[7] </w:t>
      </w:r>
      <w:r>
        <w:rPr>
          <w:rFonts w:eastAsia="Calibri"/>
          <w:sz w:val="24"/>
          <w:szCs w:val="24"/>
          <w:lang w:val="en-US" w:eastAsia="zh-CN"/>
        </w:rPr>
        <w:t>Chen, L., Yang, Q., Li, C. et al. Controlling Dynamic Formations of Mobile Agents Governed by Euler-Lagrange Dynamics. Int. J. Control Autom. Syst. 19, 1740–1750 (2021). DOI: 10.1007/s12555-020-0274-3.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[8] </w:t>
      </w:r>
      <w:r>
        <w:rPr>
          <w:rFonts w:eastAsia="Calibri"/>
          <w:sz w:val="24"/>
          <w:szCs w:val="24"/>
          <w:lang w:val="en-US" w:eastAsia="zh-CN"/>
        </w:rPr>
        <w:t>E. Shajan, D. Ghosh, et al. Direction-dependent noise-induced synchronization in mobile oscillators. Chaos </w:t>
      </w:r>
      <w:r>
        <w:rPr>
          <w:rFonts w:hint="default" w:eastAsia="Calibri"/>
          <w:sz w:val="24"/>
          <w:szCs w:val="24"/>
          <w:lang w:val="en-US" w:eastAsia="zh-CN"/>
        </w:rPr>
        <w:t>(</w:t>
      </w:r>
      <w:r>
        <w:rPr>
          <w:rFonts w:eastAsia="Calibri"/>
          <w:sz w:val="24"/>
          <w:szCs w:val="24"/>
          <w:lang w:val="en-US" w:eastAsia="zh-CN"/>
        </w:rPr>
        <w:t>2023</w:t>
      </w:r>
      <w:r>
        <w:rPr>
          <w:rFonts w:hint="default" w:eastAsia="Calibri"/>
          <w:sz w:val="24"/>
          <w:szCs w:val="24"/>
          <w:lang w:val="en-US" w:eastAsia="zh-CN"/>
        </w:rPr>
        <w:t>)</w:t>
      </w:r>
      <w:r>
        <w:rPr>
          <w:rFonts w:eastAsia="Calibri"/>
          <w:sz w:val="24"/>
          <w:szCs w:val="24"/>
          <w:lang w:val="en-US" w:eastAsia="zh-CN"/>
        </w:rPr>
        <w:t>; 33 (5): 053108. DOI: 10.1063/5.0146983.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[9] </w:t>
      </w:r>
      <w:r>
        <w:rPr>
          <w:rFonts w:eastAsia="Calibri"/>
          <w:sz w:val="24"/>
          <w:szCs w:val="24"/>
          <w:lang w:val="en-US" w:eastAsia="zh-CN"/>
        </w:rPr>
        <w:t xml:space="preserve">X. Ling, W. B. Ju, N. Guo, et al. Explosive synchronization in network of mobile oscillators, Physics Letters A, Volume 384, Issue 35, </w:t>
      </w:r>
      <w:r>
        <w:rPr>
          <w:rFonts w:hint="default" w:eastAsia="Calibri"/>
          <w:sz w:val="24"/>
          <w:szCs w:val="24"/>
          <w:lang w:val="en-US" w:eastAsia="zh-CN"/>
        </w:rPr>
        <w:t>(</w:t>
      </w:r>
      <w:r>
        <w:rPr>
          <w:rFonts w:eastAsia="Calibri"/>
          <w:sz w:val="24"/>
          <w:szCs w:val="24"/>
          <w:lang w:val="en-US" w:eastAsia="zh-CN"/>
        </w:rPr>
        <w:t>2020</w:t>
      </w:r>
      <w:r>
        <w:rPr>
          <w:rFonts w:hint="default" w:eastAsia="Calibri"/>
          <w:sz w:val="24"/>
          <w:szCs w:val="24"/>
          <w:lang w:val="en-US" w:eastAsia="zh-CN"/>
        </w:rPr>
        <w:t>)</w:t>
      </w:r>
      <w:r>
        <w:rPr>
          <w:rFonts w:eastAsia="Calibri"/>
          <w:sz w:val="24"/>
          <w:szCs w:val="24"/>
          <w:lang w:val="en-US" w:eastAsia="zh-CN"/>
        </w:rPr>
        <w:t>, 126881, ISSN 0375-9601. DOI: 10.1016/j.physleta.2020.126881.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[10] </w:t>
      </w:r>
      <w:r>
        <w:rPr>
          <w:rFonts w:eastAsia="Calibri"/>
          <w:sz w:val="24"/>
          <w:szCs w:val="24"/>
          <w:lang w:val="en-US" w:eastAsia="zh-CN"/>
        </w:rPr>
        <w:t>V.L.S. Freitas, S. Yanchuk, H.L.C. Grande, et al. The effects of time-delay and phase lags on symmetric circular formations of mobile agents. Eur. Phys. J. Spec. Top. 230, 2857–2864 (2021). DOI: 10.1140/epjs/s11734-021-00153-6.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[11] </w:t>
      </w:r>
      <w:r>
        <w:rPr>
          <w:rFonts w:eastAsia="Calibri"/>
          <w:sz w:val="24"/>
          <w:szCs w:val="24"/>
          <w:lang w:val="en-US" w:eastAsia="zh-CN"/>
        </w:rPr>
        <w:t>C. Hu, H. He, H. Jiang, Edge-Based Adaptive Distributed Method for Synchronization of Intermittently Coupled Spatiotemporal Networks, in IEEE Transactions on Automatic Control, vol. 67, no. 5, pp. 2597-2604. DOI: 10.1109/TAC.2021.3088805.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[12] </w:t>
      </w:r>
      <w:r>
        <w:rPr>
          <w:rFonts w:eastAsia="Calibri"/>
          <w:sz w:val="24"/>
          <w:szCs w:val="24"/>
          <w:lang w:val="en-US" w:eastAsia="zh-CN"/>
        </w:rPr>
        <w:t>S. Majhi, D. Ghosh, and J. Kurths, Emergence of synchronization in multiplex networks of mobile Rössler oscillators, Phys. Rev. E 99, vol. 99, 4 January 2019, 012308. DOI: 10.1103/PhysRevE.99.012308.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[13] </w:t>
      </w:r>
      <w:r>
        <w:rPr>
          <w:rFonts w:eastAsia="Calibri"/>
          <w:sz w:val="24"/>
          <w:szCs w:val="24"/>
          <w:lang w:val="en-US" w:eastAsia="zh-CN"/>
        </w:rPr>
        <w:t>J. Zhou </w:t>
      </w:r>
      <w:r>
        <w:fldChar w:fldCharType="begin"/>
      </w:r>
      <w:r>
        <w:instrText xml:space="preserve"> HYPERLINK "https://orcid.org/0000-0002-0997-3496" \t "https://iopscience.iop.org/article/10.1088/1367-2630/ab9851/_blank" </w:instrText>
      </w:r>
      <w:r>
        <w:fldChar w:fldCharType="separate"/>
      </w:r>
      <w:r>
        <w:fldChar w:fldCharType="end"/>
      </w:r>
      <w:r>
        <w:rPr>
          <w:rFonts w:eastAsia="Calibri"/>
          <w:sz w:val="24"/>
          <w:szCs w:val="24"/>
          <w:lang w:val="en-US" w:eastAsia="zh-CN"/>
        </w:rPr>
        <w:t xml:space="preserve">, G. Xiao, H Eugene, Stanley Control of mobile chaotic agents with jump-based connection adaption strategy  </w:t>
      </w:r>
      <w:r>
        <w:fldChar w:fldCharType="begin"/>
      </w:r>
      <w:r>
        <w:instrText xml:space="preserve"> HYPERLINK "https://iopscience.iop.org/journal/1367-2630" </w:instrText>
      </w:r>
      <w:r>
        <w:fldChar w:fldCharType="separate"/>
      </w:r>
      <w:r>
        <w:rPr>
          <w:rFonts w:eastAsia="Calibri"/>
          <w:sz w:val="24"/>
          <w:szCs w:val="24"/>
          <w:lang w:val="en-US" w:eastAsia="zh-CN"/>
        </w:rPr>
        <w:t>New Journal of Physics</w:t>
      </w:r>
      <w:r>
        <w:rPr>
          <w:rFonts w:eastAsia="Calibri"/>
          <w:sz w:val="24"/>
          <w:szCs w:val="24"/>
          <w:lang w:val="en-US" w:eastAsia="zh-CN"/>
        </w:rPr>
        <w:fldChar w:fldCharType="end"/>
      </w:r>
      <w:r>
        <w:rPr>
          <w:rFonts w:eastAsia="Calibri"/>
          <w:sz w:val="24"/>
          <w:szCs w:val="24"/>
          <w:lang w:val="en-US" w:eastAsia="zh-CN"/>
        </w:rPr>
        <w:t>, </w:t>
      </w:r>
      <w:r>
        <w:fldChar w:fldCharType="begin"/>
      </w:r>
      <w:r>
        <w:instrText xml:space="preserve"> HYPERLINK "https://iopscience.iop.org/volume/1367-2630/22" </w:instrText>
      </w:r>
      <w:r>
        <w:fldChar w:fldCharType="separate"/>
      </w:r>
      <w:r>
        <w:rPr>
          <w:rFonts w:eastAsia="Calibri"/>
          <w:sz w:val="24"/>
          <w:szCs w:val="24"/>
          <w:lang w:val="en-US" w:eastAsia="zh-CN"/>
        </w:rPr>
        <w:t xml:space="preserve"> vol. 22</w:t>
      </w:r>
      <w:r>
        <w:rPr>
          <w:rFonts w:eastAsia="Calibri"/>
          <w:sz w:val="24"/>
          <w:szCs w:val="24"/>
          <w:lang w:val="en-US" w:eastAsia="zh-CN"/>
        </w:rPr>
        <w:fldChar w:fldCharType="end"/>
      </w:r>
      <w:r>
        <w:rPr>
          <w:rFonts w:eastAsia="Calibri"/>
          <w:sz w:val="24"/>
          <w:szCs w:val="24"/>
          <w:lang w:val="en-US" w:eastAsia="zh-CN"/>
        </w:rPr>
        <w:t>, </w:t>
      </w:r>
      <w:r>
        <w:fldChar w:fldCharType="begin"/>
      </w:r>
      <w:r>
        <w:instrText xml:space="preserve"> HYPERLINK "https://iopscience.iop.org/issue/1367-2630/22/7" </w:instrText>
      </w:r>
      <w:r>
        <w:fldChar w:fldCharType="separate"/>
      </w:r>
      <w:r>
        <w:rPr>
          <w:rFonts w:eastAsia="Calibri"/>
          <w:sz w:val="24"/>
          <w:szCs w:val="24"/>
          <w:lang w:val="en-US" w:eastAsia="zh-CN"/>
        </w:rPr>
        <w:t>July 2020</w:t>
      </w:r>
      <w:r>
        <w:rPr>
          <w:rFonts w:eastAsia="Calibri"/>
          <w:sz w:val="24"/>
          <w:szCs w:val="24"/>
          <w:lang w:val="en-US" w:eastAsia="zh-CN"/>
        </w:rPr>
        <w:fldChar w:fldCharType="end"/>
      </w:r>
      <w:r>
        <w:rPr>
          <w:rFonts w:eastAsia="Calibri"/>
          <w:sz w:val="24"/>
          <w:szCs w:val="24"/>
          <w:lang w:val="en-US" w:eastAsia="zh-CN"/>
        </w:rPr>
        <w:t>. DOI: 10.1088/1367-2630/ab9851.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[14] </w:t>
      </w:r>
      <w:r>
        <w:rPr>
          <w:rFonts w:eastAsia="Calibri"/>
          <w:sz w:val="24"/>
          <w:szCs w:val="24"/>
          <w:lang w:val="en-US" w:eastAsia="zh-CN"/>
        </w:rPr>
        <w:t>S. N. Chowdhury, S. Majhi and D. Ghosh, "Distance Dependent Competitive Interactions in a Frustrated Network of Mobile Agents," in IEEE Transactions on Network Science and Engineering, vol. 7, no. 4, pp. 3159-3170, 1 Oct.-Dec. 2020. DOI: 10.1109/TNSE.2020.3017495.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[15] </w:t>
      </w:r>
      <w:r>
        <w:rPr>
          <w:rFonts w:eastAsia="Calibri"/>
          <w:sz w:val="24"/>
          <w:szCs w:val="24"/>
          <w:lang w:val="en-US" w:eastAsia="zh-CN"/>
        </w:rPr>
        <w:t>A. Buscarino, L. Fortuna, M. Frasca, S. Frisenna, Interaction between synchronization and motion in a system of mobile agents. Chaos 1 November 2016; 26 (11): 116302. DOI: 10.1063/1.4965033.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[16] </w:t>
      </w:r>
      <w:r>
        <w:rPr>
          <w:rFonts w:eastAsia="Calibri"/>
          <w:sz w:val="24"/>
          <w:szCs w:val="24"/>
          <w:lang w:val="en-US" w:eastAsia="zh-CN"/>
        </w:rPr>
        <w:t>F. Zhang, W. Chen and Y. Xi, Motion Synchronization in Mobile Robot Networks: Robustness, 2006 IEEE/RSJ International Conference on Intelligent Robots and Systems, Beijing, China, 2006, pp. 5570-5575. DOI: 10.1109/IROS.2006.282274.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[17] </w:t>
      </w:r>
      <w:r>
        <w:rPr>
          <w:rFonts w:eastAsia="Calibri"/>
          <w:sz w:val="24"/>
          <w:szCs w:val="24"/>
          <w:lang w:val="en-US" w:eastAsia="zh-CN"/>
        </w:rPr>
        <w:t>L. Dou, C. Song, X. Wang, et al. Target localization and enclosing control for networked mobile agents with bearing measurements, Automatica, vol. 118, 2020, 109022, ISSN 0005-1098. DOI: 10.1016/j.automatica.2020.109022.</w:t>
      </w:r>
    </w:p>
    <w:p>
      <w:pPr>
        <w:numPr>
          <w:numId w:val="0"/>
        </w:numPr>
        <w:spacing w:line="360" w:lineRule="auto"/>
        <w:ind w:leftChars="0"/>
        <w:jc w:val="both"/>
        <w:rPr>
          <w:rFonts w:eastAsia="Calibri"/>
          <w:sz w:val="24"/>
          <w:szCs w:val="24"/>
          <w:lang w:val="en-US" w:eastAsia="zh-CN"/>
        </w:rPr>
      </w:pPr>
      <w:r>
        <w:rPr>
          <w:rFonts w:hint="default" w:eastAsia="Calibri"/>
          <w:sz w:val="24"/>
          <w:szCs w:val="24"/>
          <w:lang w:val="en-US" w:eastAsia="zh-CN"/>
        </w:rPr>
        <w:t xml:space="preserve">[18] </w:t>
      </w:r>
      <w:r>
        <w:rPr>
          <w:rFonts w:eastAsia="Calibri"/>
          <w:sz w:val="24"/>
          <w:szCs w:val="24"/>
          <w:lang w:val="ru-RU" w:eastAsia="zh-CN"/>
        </w:rPr>
        <w:t>В</w:t>
      </w:r>
      <w:r>
        <w:rPr>
          <w:rFonts w:hint="default" w:eastAsia="Calibri"/>
          <w:sz w:val="24"/>
          <w:szCs w:val="24"/>
          <w:lang w:val="ru-RU" w:eastAsia="zh-CN"/>
        </w:rPr>
        <w:t>. А. Левин, Г. В. Осипов, Письма в ЖТФ, 42 (6), 42 (2016).</w:t>
      </w:r>
      <w:bookmarkStart w:id="0" w:name="_GoBack"/>
      <w:bookmarkEnd w:id="0"/>
    </w:p>
    <w:p>
      <w:pPr>
        <w:rPr>
          <w:rFonts w:eastAsia="Times New Roman"/>
          <w:sz w:val="24"/>
          <w:szCs w:val="24"/>
          <w:lang w:val="en-US"/>
        </w:rPr>
      </w:pPr>
      <w:r>
        <w:rPr>
          <w:rFonts w:eastAsia="Calibri"/>
          <w:sz w:val="24"/>
          <w:szCs w:val="24"/>
          <w:lang w:val="en-US" w:eastAsia="zh-CN"/>
        </w:rPr>
        <w:br w:type="page"/>
      </w:r>
    </w:p>
    <w:p/>
    <w:tbl>
      <w:tblPr>
        <w:tblStyle w:val="5"/>
        <w:tblpPr w:leftFromText="180" w:rightFromText="180" w:vertAnchor="text" w:horzAnchor="margin" w:tblpY="-24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3161"/>
        <w:gridCol w:w="317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4" w:hRule="atLeast"/>
        </w:trPr>
        <w:tc>
          <w:tcPr>
            <w:tcW w:w="3190" w:type="dxa"/>
            <w:vAlign w:val="bottom"/>
          </w:tcPr>
          <w:p>
            <w:pPr>
              <w:pStyle w:val="18"/>
              <w:spacing w:after="0" w:line="360" w:lineRule="auto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iCs/>
                <w:sz w:val="24"/>
                <w:szCs w:val="24"/>
                <w:lang w:eastAsia="ru-RU"/>
              </w:rPr>
              <w:drawing>
                <wp:inline distT="0" distB="0" distL="114300" distR="114300">
                  <wp:extent cx="1985010" cy="1904365"/>
                  <wp:effectExtent l="0" t="0" r="11430" b="635"/>
                  <wp:docPr id="13" name="Изображение 13" descr="полная синхронизац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 13" descr="полная синхронизация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4083" t="11061" r="8800" b="54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5010" cy="190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 w:val="24"/>
                <w:szCs w:val="24"/>
              </w:rPr>
              <w:t>а</w:t>
            </w:r>
          </w:p>
        </w:tc>
        <w:tc>
          <w:tcPr>
            <w:tcW w:w="3190" w:type="dxa"/>
            <w:vAlign w:val="bottom"/>
          </w:tcPr>
          <w:p>
            <w:pPr>
              <w:pStyle w:val="18"/>
              <w:spacing w:after="0" w:line="360" w:lineRule="auto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iCs/>
                <w:sz w:val="24"/>
                <w:szCs w:val="24"/>
                <w:lang w:eastAsia="ru-RU"/>
              </w:rPr>
              <w:drawing>
                <wp:inline distT="0" distB="0" distL="114300" distR="114300">
                  <wp:extent cx="1932305" cy="1891030"/>
                  <wp:effectExtent l="0" t="0" r="3175" b="13970"/>
                  <wp:docPr id="12" name="Изображение 12" descr="частичная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 12" descr="частичная (2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5570" t="11108" r="9066" b="54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305" cy="189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 w:val="24"/>
                <w:szCs w:val="24"/>
              </w:rPr>
              <w:t>б</w:t>
            </w:r>
          </w:p>
        </w:tc>
        <w:tc>
          <w:tcPr>
            <w:tcW w:w="3190" w:type="dxa"/>
            <w:vAlign w:val="bottom"/>
          </w:tcPr>
          <w:p>
            <w:pPr>
              <w:pStyle w:val="18"/>
              <w:spacing w:after="0" w:line="360" w:lineRule="auto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hAnsi="Cambria Math"/>
                <w:iCs/>
                <w:sz w:val="24"/>
                <w:szCs w:val="24"/>
                <w:lang w:eastAsia="ru-RU"/>
              </w:rPr>
              <w:drawing>
                <wp:inline distT="0" distB="0" distL="114300" distR="114300">
                  <wp:extent cx="1948815" cy="1904365"/>
                  <wp:effectExtent l="0" t="0" r="1905" b="635"/>
                  <wp:docPr id="11" name="Изображение 11" descr="сетка полна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 11" descr="сетка полная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5912" t="11268" r="8927" b="56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815" cy="190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 w:val="24"/>
                <w:szCs w:val="24"/>
              </w:rPr>
              <w:t>в</w:t>
            </w:r>
          </w:p>
        </w:tc>
      </w:tr>
    </w:tbl>
    <w:p>
      <w:pPr>
        <w:pStyle w:val="10"/>
        <w:spacing w:line="360" w:lineRule="auto"/>
        <w:ind w:firstLine="284"/>
        <w:jc w:val="both"/>
        <w:rPr>
          <w:rFonts w:hint="default"/>
          <w:sz w:val="24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Рис.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ru-RU"/>
        </w:rPr>
        <w:t>1</w:t>
      </w:r>
      <w:r>
        <w:rPr>
          <w:rFonts w:ascii="Times New Roman" w:hAnsi="Times New Roman" w:cs="Times New Roman"/>
          <w:b/>
          <w:bCs/>
          <w:sz w:val="24"/>
          <w:szCs w:val="32"/>
        </w:rPr>
        <w:t>.</w:t>
      </w:r>
      <w:r>
        <w:rPr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ru-RU"/>
        </w:rPr>
        <w:t>Синхронизация</w:t>
      </w:r>
      <w:r>
        <w:rPr>
          <w:rFonts w:hint="default" w:ascii="Times New Roman" w:hAnsi="Times New Roman" w:cs="Times New Roman"/>
          <w:sz w:val="24"/>
          <w:szCs w:val="32"/>
          <w:lang w:val="ru-RU"/>
        </w:rPr>
        <w:t xml:space="preserve"> ансамбля мобильных агентов. (а) - полная синхронизация при реализации последовательного движения. (б) - кластерная синхронизация роя при параллельном движении (в дальнейшем два кластера объединятся в один). (в) - придание рою структуры квадрата 5х5 элементов.</w:t>
      </w:r>
    </w:p>
    <w:p/>
    <w:p>
      <w:pPr>
        <w:pStyle w:val="12"/>
        <w:rPr>
          <w:rFonts w:eastAsia="SimHei"/>
        </w:rPr>
      </w:pPr>
      <w:r>
        <w:br w:type="page"/>
      </w:r>
    </w:p>
    <w:p/>
    <w:tbl>
      <w:tblPr>
        <w:tblStyle w:val="5"/>
        <w:tblpPr w:leftFromText="180" w:rightFromText="180" w:vertAnchor="text" w:horzAnchor="margin" w:tblpY="-24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2"/>
        <w:gridCol w:w="3160"/>
        <w:gridCol w:w="32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4" w:hRule="atLeast"/>
        </w:trPr>
        <w:tc>
          <w:tcPr>
            <w:tcW w:w="3190" w:type="dxa"/>
            <w:vAlign w:val="bottom"/>
          </w:tcPr>
          <w:p>
            <w:pPr>
              <w:pStyle w:val="18"/>
              <w:spacing w:after="0" w:line="360" w:lineRule="auto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lang w:eastAsia="ru-RU"/>
              </w:rPr>
              <w:drawing>
                <wp:inline distT="0" distB="0" distL="114300" distR="114300">
                  <wp:extent cx="1940560" cy="1860550"/>
                  <wp:effectExtent l="0" t="0" r="2540" b="6350"/>
                  <wp:docPr id="8" name="Изображение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4043" t="11294" r="8920" b="53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0560" cy="186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 w:val="24"/>
                <w:szCs w:val="24"/>
              </w:rPr>
              <w:t>а</w:t>
            </w:r>
          </w:p>
        </w:tc>
        <w:tc>
          <w:tcPr>
            <w:tcW w:w="3190" w:type="dxa"/>
            <w:vAlign w:val="bottom"/>
          </w:tcPr>
          <w:p>
            <w:pPr>
              <w:pStyle w:val="18"/>
              <w:spacing w:after="0" w:line="360" w:lineRule="auto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lang w:eastAsia="ru-RU"/>
              </w:rPr>
              <w:drawing>
                <wp:inline distT="0" distB="0" distL="114300" distR="114300">
                  <wp:extent cx="1893570" cy="1851025"/>
                  <wp:effectExtent l="0" t="0" r="11430" b="15875"/>
                  <wp:docPr id="9" name="Изображение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5476" t="10963" r="8513" b="50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3570" cy="185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 w:val="24"/>
                <w:szCs w:val="24"/>
              </w:rPr>
              <w:t>б</w:t>
            </w:r>
          </w:p>
        </w:tc>
        <w:tc>
          <w:tcPr>
            <w:tcW w:w="3190" w:type="dxa"/>
            <w:vAlign w:val="bottom"/>
          </w:tcPr>
          <w:p>
            <w:pPr>
              <w:pStyle w:val="18"/>
              <w:spacing w:after="0" w:line="360" w:lineRule="auto"/>
              <w:ind w:left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lang w:eastAsia="ru-RU"/>
              </w:rPr>
              <w:drawing>
                <wp:inline distT="0" distB="0" distL="114300" distR="114300">
                  <wp:extent cx="1925320" cy="1865630"/>
                  <wp:effectExtent l="0" t="0" r="17780" b="1270"/>
                  <wp:docPr id="10" name="Изображение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5690" t="11230" r="8299" b="54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320" cy="186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sz w:val="24"/>
                <w:szCs w:val="24"/>
              </w:rPr>
              <w:t>в</w:t>
            </w:r>
          </w:p>
        </w:tc>
      </w:tr>
    </w:tbl>
    <w:p>
      <w:pPr>
        <w:pStyle w:val="10"/>
        <w:spacing w:line="360" w:lineRule="auto"/>
        <w:ind w:firstLine="284"/>
        <w:jc w:val="both"/>
        <w:rPr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Рис.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ru-RU"/>
        </w:rPr>
        <w:t>2</w:t>
      </w:r>
      <w:r>
        <w:rPr>
          <w:rFonts w:ascii="Times New Roman" w:hAnsi="Times New Roman" w:cs="Times New Roman"/>
          <w:b/>
          <w:bCs/>
          <w:sz w:val="24"/>
          <w:szCs w:val="32"/>
        </w:rPr>
        <w:t>.</w:t>
      </w:r>
      <w:r>
        <w:rPr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 Захват ансамбля агентом, заданным уравнением Ван-дер-Поля. (а) - состояние роя до добавления нового агента. (б) - новый элемент начал притягивать всех агентов. (в) - рой движется по траектории фокуса к состоянию равновесия агента, заданного уравнением Ван-дер-Поля. Значение параметра </w:t>
      </w:r>
      <m:oMath>
        <m:r>
          <m:rPr/>
          <w:rPr>
            <w:rFonts w:ascii="Cambria Math" w:hAnsi="Cambria Math" w:cs="Times New Roman"/>
            <w:sz w:val="24"/>
            <w:szCs w:val="32"/>
          </w:rPr>
          <m:t>μ</m:t>
        </m:r>
        <m:r>
          <m:rPr/>
          <w:rPr>
            <w:rFonts w:ascii="Cambria Math" w:hAnsi="Cambria Math" w:cs="Times New Roman"/>
            <w:sz w:val="24"/>
            <w:szCs w:val="32"/>
            <w:lang w:val="en-US"/>
          </w:rPr>
          <m:t>=0.2</m:t>
        </m:r>
      </m:oMath>
      <w:r>
        <w:rPr>
          <w:rFonts w:hAnsi="Cambria Math" w:cs="Times New Roman"/>
          <w:iCs/>
          <w:sz w:val="24"/>
          <w:szCs w:val="32"/>
          <w:lang w:val="en-US"/>
        </w:rPr>
        <w:t>.</w:t>
      </w:r>
    </w:p>
    <w:p>
      <w:pPr>
        <w:spacing w:after="0" w:line="240" w:lineRule="auto"/>
      </w:pPr>
      <w:r>
        <w:br w:type="page"/>
      </w:r>
    </w:p>
    <w:p>
      <w:pPr>
        <w:pStyle w:val="10"/>
        <w:keepNext/>
      </w:pPr>
      <w:r>
        <w:rPr>
          <w:rFonts w:ascii="Times New Roman" w:hAnsi="Times New Roman" w:cs="Times New Roman"/>
          <w:sz w:val="24"/>
        </w:rPr>
        <w:t xml:space="preserve">Таблица 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SEQ Таблица \* ARABIC </w:instrText>
      </w:r>
      <w:r>
        <w:rPr>
          <w:rFonts w:ascii="Times New Roman" w:hAnsi="Times New Roman" w:cs="Times New Roman"/>
          <w:sz w:val="24"/>
        </w:rPr>
        <w:fldChar w:fldCharType="separate"/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>,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Численные результаты числа кластеров от числа удалённых элементов из ансамбля, имеющего структуру квадрата 10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10 элементов. Все элементы удалялись из центра структуры.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648"/>
        <w:gridCol w:w="649"/>
        <w:gridCol w:w="664"/>
        <w:gridCol w:w="664"/>
        <w:gridCol w:w="664"/>
        <w:gridCol w:w="664"/>
        <w:gridCol w:w="665"/>
        <w:gridCol w:w="666"/>
        <w:gridCol w:w="1067"/>
        <w:gridCol w:w="1370"/>
        <w:gridCol w:w="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6" w:type="dxa"/>
          </w:tcPr>
          <w:p>
            <w:pPr>
              <w:widowControl w:val="0"/>
              <w:jc w:val="center"/>
            </w:pPr>
            <w:r>
              <w:t>Кол-во удалённых элементов</w:t>
            </w:r>
          </w:p>
        </w:tc>
        <w:tc>
          <w:tcPr>
            <w:tcW w:w="653" w:type="dxa"/>
          </w:tcPr>
          <w:p>
            <w:pPr>
              <w:widowControl w:val="0"/>
              <w:jc w:val="center"/>
            </w:pPr>
            <w:r>
              <w:t>4</w:t>
            </w:r>
          </w:p>
        </w:tc>
        <w:tc>
          <w:tcPr>
            <w:tcW w:w="654" w:type="dxa"/>
          </w:tcPr>
          <w:p>
            <w:pPr>
              <w:widowControl w:val="0"/>
              <w:jc w:val="center"/>
            </w:pPr>
            <w:r>
              <w:t>8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12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16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24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32</w:t>
            </w:r>
          </w:p>
        </w:tc>
        <w:tc>
          <w:tcPr>
            <w:tcW w:w="669" w:type="dxa"/>
          </w:tcPr>
          <w:p>
            <w:pPr>
              <w:widowControl w:val="0"/>
              <w:jc w:val="center"/>
            </w:pPr>
            <w:r>
              <w:t>36</w:t>
            </w:r>
          </w:p>
        </w:tc>
        <w:tc>
          <w:tcPr>
            <w:tcW w:w="670" w:type="dxa"/>
          </w:tcPr>
          <w:p>
            <w:pPr>
              <w:widowControl w:val="0"/>
              <w:jc w:val="center"/>
            </w:pPr>
            <w:r>
              <w:t>44</w:t>
            </w:r>
          </w:p>
        </w:tc>
        <w:tc>
          <w:tcPr>
            <w:tcW w:w="1067" w:type="dxa"/>
          </w:tcPr>
          <w:p>
            <w:pPr>
              <w:widowControl w:val="0"/>
              <w:jc w:val="center"/>
            </w:pPr>
            <w:r>
              <w:t>52</w:t>
            </w:r>
          </w:p>
        </w:tc>
        <w:tc>
          <w:tcPr>
            <w:tcW w:w="1370" w:type="dxa"/>
          </w:tcPr>
          <w:p>
            <w:pPr>
              <w:widowControl w:val="0"/>
              <w:jc w:val="center"/>
            </w:pPr>
            <w:r>
              <w:t>60</w:t>
            </w:r>
          </w:p>
        </w:tc>
        <w:tc>
          <w:tcPr>
            <w:tcW w:w="670" w:type="dxa"/>
          </w:tcPr>
          <w:p>
            <w:pPr>
              <w:widowControl w:val="0"/>
              <w:jc w:val="center"/>
            </w:pPr>
            <w: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widowControl w:val="0"/>
              <w:jc w:val="center"/>
            </w:pPr>
            <w:r>
              <w:t>Кол-во кластеров</w:t>
            </w:r>
          </w:p>
        </w:tc>
        <w:tc>
          <w:tcPr>
            <w:tcW w:w="653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654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2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2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2</w:t>
            </w:r>
          </w:p>
        </w:tc>
        <w:tc>
          <w:tcPr>
            <w:tcW w:w="668" w:type="dxa"/>
          </w:tcPr>
          <w:p>
            <w:pPr>
              <w:widowControl w:val="0"/>
              <w:jc w:val="center"/>
            </w:pPr>
            <w:r>
              <w:t>3</w:t>
            </w:r>
          </w:p>
        </w:tc>
        <w:tc>
          <w:tcPr>
            <w:tcW w:w="669" w:type="dxa"/>
          </w:tcPr>
          <w:p>
            <w:pPr>
              <w:widowControl w:val="0"/>
              <w:jc w:val="center"/>
            </w:pPr>
            <w:r>
              <w:t>3</w:t>
            </w:r>
          </w:p>
        </w:tc>
        <w:tc>
          <w:tcPr>
            <w:tcW w:w="670" w:type="dxa"/>
          </w:tcPr>
          <w:p>
            <w:pPr>
              <w:widowControl w:val="0"/>
              <w:jc w:val="center"/>
            </w:pPr>
            <w:r>
              <w:t>2</w:t>
            </w:r>
          </w:p>
        </w:tc>
        <w:tc>
          <w:tcPr>
            <w:tcW w:w="1067" w:type="dxa"/>
          </w:tcPr>
          <w:p>
            <w:pPr>
              <w:widowControl w:val="0"/>
              <w:jc w:val="center"/>
            </w:pPr>
            <w:r>
              <w:t>2 и 2 уединён-ных элемента</w:t>
            </w:r>
          </w:p>
        </w:tc>
        <w:tc>
          <w:tcPr>
            <w:tcW w:w="1370" w:type="dxa"/>
          </w:tcPr>
          <w:p>
            <w:pPr>
              <w:widowControl w:val="0"/>
              <w:jc w:val="center"/>
            </w:pPr>
            <w:r>
              <w:t>3 и 1 уединённый</w:t>
            </w:r>
          </w:p>
        </w:tc>
        <w:tc>
          <w:tcPr>
            <w:tcW w:w="670" w:type="dxa"/>
          </w:tcPr>
          <w:p>
            <w:pPr>
              <w:widowControl w:val="0"/>
              <w:jc w:val="center"/>
            </w:pPr>
            <w:r>
              <w:t xml:space="preserve">4 </w:t>
            </w:r>
          </w:p>
        </w:tc>
      </w:tr>
    </w:tbl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10"/>
        <w:keepNext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Таблица 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SEQ Таблица \* ARABIC </w:instrText>
      </w:r>
      <w:r>
        <w:rPr>
          <w:rFonts w:ascii="Times New Roman" w:hAnsi="Times New Roman" w:cs="Times New Roman"/>
          <w:sz w:val="24"/>
        </w:rPr>
        <w:fldChar w:fldCharType="separate"/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>. Численные результаты числа кластеров от числа удалённых элементов из ансамбля, имеющего структуру квадрата 10x10 элементов. Элементы удалялись случайно.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709"/>
        <w:gridCol w:w="709"/>
        <w:gridCol w:w="709"/>
        <w:gridCol w:w="709"/>
        <w:gridCol w:w="709"/>
        <w:gridCol w:w="709"/>
        <w:gridCol w:w="710"/>
        <w:gridCol w:w="710"/>
        <w:gridCol w:w="710"/>
        <w:gridCol w:w="710"/>
        <w:gridCol w:w="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widowControl w:val="0"/>
              <w:jc w:val="center"/>
            </w:pPr>
            <w:r>
              <w:t>Кол-во удалённых элементов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10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15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20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25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30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35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40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45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50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55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widowControl w:val="0"/>
              <w:jc w:val="center"/>
            </w:pPr>
            <w:r>
              <w:t>Кол-во кластеров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1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2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2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2</w:t>
            </w:r>
          </w:p>
        </w:tc>
        <w:tc>
          <w:tcPr>
            <w:tcW w:w="710" w:type="dxa"/>
          </w:tcPr>
          <w:p>
            <w:pPr>
              <w:widowControl w:val="0"/>
              <w:jc w:val="center"/>
            </w:pPr>
            <w:r>
              <w:t>2</w:t>
            </w:r>
          </w:p>
        </w:tc>
      </w:tr>
    </w:tbl>
    <w:p>
      <w:pPr>
        <w:rPr>
          <w:rFonts w:eastAsia="Calibri"/>
          <w:sz w:val="24"/>
          <w:szCs w:val="24"/>
          <w:lang w:eastAsia="zh-CN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DB516E"/>
    <w:multiLevelType w:val="singleLevel"/>
    <w:tmpl w:val="AEDB516E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EC3D9C67"/>
    <w:multiLevelType w:val="singleLevel"/>
    <w:tmpl w:val="EC3D9C6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0FEE82E7"/>
    <w:multiLevelType w:val="multilevel"/>
    <w:tmpl w:val="0FEE82E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BF3"/>
    <w:rsid w:val="000022B0"/>
    <w:rsid w:val="00013024"/>
    <w:rsid w:val="00015723"/>
    <w:rsid w:val="000171CA"/>
    <w:rsid w:val="000200B4"/>
    <w:rsid w:val="00030F4A"/>
    <w:rsid w:val="00037F1E"/>
    <w:rsid w:val="0004594F"/>
    <w:rsid w:val="00071B36"/>
    <w:rsid w:val="000A5681"/>
    <w:rsid w:val="000A7A97"/>
    <w:rsid w:val="000B7E13"/>
    <w:rsid w:val="000C2BA1"/>
    <w:rsid w:val="001336E8"/>
    <w:rsid w:val="001621E2"/>
    <w:rsid w:val="00172866"/>
    <w:rsid w:val="001905E7"/>
    <w:rsid w:val="001A5B1F"/>
    <w:rsid w:val="001B790C"/>
    <w:rsid w:val="001B7A5E"/>
    <w:rsid w:val="001D11CD"/>
    <w:rsid w:val="001F0749"/>
    <w:rsid w:val="001F513C"/>
    <w:rsid w:val="001F67BB"/>
    <w:rsid w:val="001F7E06"/>
    <w:rsid w:val="00207444"/>
    <w:rsid w:val="00211075"/>
    <w:rsid w:val="00213856"/>
    <w:rsid w:val="00247BD9"/>
    <w:rsid w:val="002954B7"/>
    <w:rsid w:val="002A09CF"/>
    <w:rsid w:val="002E2B0D"/>
    <w:rsid w:val="002F2CE0"/>
    <w:rsid w:val="002F5EAD"/>
    <w:rsid w:val="00301648"/>
    <w:rsid w:val="003146C2"/>
    <w:rsid w:val="003167F1"/>
    <w:rsid w:val="00363373"/>
    <w:rsid w:val="003736F3"/>
    <w:rsid w:val="003B3CDD"/>
    <w:rsid w:val="003B65D7"/>
    <w:rsid w:val="003C60ED"/>
    <w:rsid w:val="003E151B"/>
    <w:rsid w:val="003E6C0A"/>
    <w:rsid w:val="003F5705"/>
    <w:rsid w:val="00403803"/>
    <w:rsid w:val="004672D7"/>
    <w:rsid w:val="00474C25"/>
    <w:rsid w:val="00516030"/>
    <w:rsid w:val="005175BB"/>
    <w:rsid w:val="00585D50"/>
    <w:rsid w:val="00586040"/>
    <w:rsid w:val="005B501B"/>
    <w:rsid w:val="005B5EC9"/>
    <w:rsid w:val="005B6B30"/>
    <w:rsid w:val="005C11B6"/>
    <w:rsid w:val="005F5437"/>
    <w:rsid w:val="006602BE"/>
    <w:rsid w:val="006D2CC4"/>
    <w:rsid w:val="006F693A"/>
    <w:rsid w:val="00705360"/>
    <w:rsid w:val="0071110A"/>
    <w:rsid w:val="00721192"/>
    <w:rsid w:val="00736274"/>
    <w:rsid w:val="00737C7D"/>
    <w:rsid w:val="00737DB4"/>
    <w:rsid w:val="00776A51"/>
    <w:rsid w:val="007A2ED5"/>
    <w:rsid w:val="007A65CC"/>
    <w:rsid w:val="007D2799"/>
    <w:rsid w:val="007E7C65"/>
    <w:rsid w:val="00802F54"/>
    <w:rsid w:val="0081526C"/>
    <w:rsid w:val="008253ED"/>
    <w:rsid w:val="00827BF3"/>
    <w:rsid w:val="00841B70"/>
    <w:rsid w:val="00846CAC"/>
    <w:rsid w:val="00866E59"/>
    <w:rsid w:val="008747A0"/>
    <w:rsid w:val="00887F23"/>
    <w:rsid w:val="008A7DC2"/>
    <w:rsid w:val="008B6A82"/>
    <w:rsid w:val="0090544B"/>
    <w:rsid w:val="00913C20"/>
    <w:rsid w:val="0091462E"/>
    <w:rsid w:val="00937E2B"/>
    <w:rsid w:val="009412E5"/>
    <w:rsid w:val="009A6E65"/>
    <w:rsid w:val="009B2AD7"/>
    <w:rsid w:val="009B3DB4"/>
    <w:rsid w:val="009C6D04"/>
    <w:rsid w:val="009E7767"/>
    <w:rsid w:val="009F6507"/>
    <w:rsid w:val="00A276F3"/>
    <w:rsid w:val="00A53B11"/>
    <w:rsid w:val="00A610AE"/>
    <w:rsid w:val="00A8769F"/>
    <w:rsid w:val="00A87B3C"/>
    <w:rsid w:val="00AA650F"/>
    <w:rsid w:val="00AD13E1"/>
    <w:rsid w:val="00AD4C08"/>
    <w:rsid w:val="00AD7A6A"/>
    <w:rsid w:val="00B07EF6"/>
    <w:rsid w:val="00B11906"/>
    <w:rsid w:val="00B12D96"/>
    <w:rsid w:val="00B32B5C"/>
    <w:rsid w:val="00B37A94"/>
    <w:rsid w:val="00B37B66"/>
    <w:rsid w:val="00B46D8D"/>
    <w:rsid w:val="00B50ED3"/>
    <w:rsid w:val="00B546AB"/>
    <w:rsid w:val="00B80452"/>
    <w:rsid w:val="00B84CD9"/>
    <w:rsid w:val="00B93A29"/>
    <w:rsid w:val="00BE4F0F"/>
    <w:rsid w:val="00BE5ED1"/>
    <w:rsid w:val="00C120F0"/>
    <w:rsid w:val="00C15520"/>
    <w:rsid w:val="00C21D78"/>
    <w:rsid w:val="00C27C3F"/>
    <w:rsid w:val="00C5756A"/>
    <w:rsid w:val="00C768E1"/>
    <w:rsid w:val="00C775F2"/>
    <w:rsid w:val="00C82711"/>
    <w:rsid w:val="00C8414E"/>
    <w:rsid w:val="00CE0393"/>
    <w:rsid w:val="00CE1C40"/>
    <w:rsid w:val="00CF3624"/>
    <w:rsid w:val="00D11790"/>
    <w:rsid w:val="00D31B9C"/>
    <w:rsid w:val="00D3612B"/>
    <w:rsid w:val="00D4167D"/>
    <w:rsid w:val="00D4270E"/>
    <w:rsid w:val="00D46496"/>
    <w:rsid w:val="00D61B81"/>
    <w:rsid w:val="00DB554A"/>
    <w:rsid w:val="00DD40F5"/>
    <w:rsid w:val="00DE7BD9"/>
    <w:rsid w:val="00E00F86"/>
    <w:rsid w:val="00E066CA"/>
    <w:rsid w:val="00E25E88"/>
    <w:rsid w:val="00E60D66"/>
    <w:rsid w:val="00E946B8"/>
    <w:rsid w:val="00EB3D8C"/>
    <w:rsid w:val="00ED3C33"/>
    <w:rsid w:val="00EF0E75"/>
    <w:rsid w:val="00F03F69"/>
    <w:rsid w:val="00F1681E"/>
    <w:rsid w:val="00F22852"/>
    <w:rsid w:val="00F357E3"/>
    <w:rsid w:val="00F85FA2"/>
    <w:rsid w:val="00F951FD"/>
    <w:rsid w:val="00FD3E57"/>
    <w:rsid w:val="00FE4537"/>
    <w:rsid w:val="02850F28"/>
    <w:rsid w:val="10970CA8"/>
    <w:rsid w:val="11BA0B5A"/>
    <w:rsid w:val="13873863"/>
    <w:rsid w:val="16B258E2"/>
    <w:rsid w:val="1A9A3184"/>
    <w:rsid w:val="1CAA07AA"/>
    <w:rsid w:val="29973A83"/>
    <w:rsid w:val="2A07061A"/>
    <w:rsid w:val="2ACF5473"/>
    <w:rsid w:val="33F270F1"/>
    <w:rsid w:val="38650F93"/>
    <w:rsid w:val="3DAD4B25"/>
    <w:rsid w:val="40447795"/>
    <w:rsid w:val="42FE2346"/>
    <w:rsid w:val="4E5B3255"/>
    <w:rsid w:val="512E5CD2"/>
    <w:rsid w:val="51A40414"/>
    <w:rsid w:val="55481377"/>
    <w:rsid w:val="577E2838"/>
    <w:rsid w:val="59F42FBC"/>
    <w:rsid w:val="5E8C6E81"/>
    <w:rsid w:val="5F2519EF"/>
    <w:rsid w:val="60A73853"/>
    <w:rsid w:val="68ED16B3"/>
    <w:rsid w:val="6ACB0606"/>
    <w:rsid w:val="6C3F1AD7"/>
    <w:rsid w:val="6D621B82"/>
    <w:rsid w:val="6D722AEE"/>
    <w:rsid w:val="6E4B3442"/>
    <w:rsid w:val="6F9B7B6A"/>
    <w:rsid w:val="70910E19"/>
    <w:rsid w:val="73AB3E08"/>
    <w:rsid w:val="74A01178"/>
    <w:rsid w:val="77A94803"/>
    <w:rsid w:val="77B7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ru-RU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1"/>
    <w:next w:val="1"/>
    <w:unhideWhenUsed/>
    <w:qFormat/>
    <w:uiPriority w:val="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page number"/>
    <w:qFormat/>
    <w:uiPriority w:val="0"/>
    <w:rPr>
      <w:rFonts w:ascii="Arial" w:hAnsi="Arial"/>
      <w:b/>
      <w:sz w:val="14"/>
    </w:rPr>
  </w:style>
  <w:style w:type="paragraph" w:styleId="9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0">
    <w:name w:val="caption"/>
    <w:basedOn w:val="1"/>
    <w:next w:val="1"/>
    <w:unhideWhenUsed/>
    <w:qFormat/>
    <w:uiPriority w:val="35"/>
    <w:rPr>
      <w:rFonts w:ascii="Arial" w:hAnsi="Arial" w:eastAsia="SimHei" w:cs="Arial"/>
      <w:sz w:val="20"/>
    </w:r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Body Text"/>
    <w:basedOn w:val="1"/>
    <w:qFormat/>
    <w:uiPriority w:val="0"/>
    <w:pPr>
      <w:ind w:firstLine="340"/>
    </w:pPr>
  </w:style>
  <w:style w:type="paragraph" w:styleId="13">
    <w:name w:val="footer"/>
    <w:basedOn w:val="1"/>
    <w:link w:val="1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14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Placeholder Text"/>
    <w:basedOn w:val="4"/>
    <w:semiHidden/>
    <w:qFormat/>
    <w:uiPriority w:val="99"/>
    <w:rPr>
      <w:color w:val="808080"/>
    </w:rPr>
  </w:style>
  <w:style w:type="character" w:customStyle="1" w:styleId="16">
    <w:name w:val="Верхний колонтитул Знак"/>
    <w:basedOn w:val="4"/>
    <w:link w:val="11"/>
    <w:qFormat/>
    <w:uiPriority w:val="99"/>
  </w:style>
  <w:style w:type="character" w:customStyle="1" w:styleId="17">
    <w:name w:val="Нижний колонтитул Знак"/>
    <w:basedOn w:val="4"/>
    <w:link w:val="13"/>
    <w:qFormat/>
    <w:uiPriority w:val="99"/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Текст выноски Знак"/>
    <w:basedOn w:val="4"/>
    <w:link w:val="9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0">
    <w:name w:val="Автор"/>
    <w:basedOn w:val="1"/>
    <w:next w:val="12"/>
    <w:qFormat/>
    <w:uiPriority w:val="0"/>
    <w:pPr>
      <w:keepNext/>
      <w:keepLines/>
      <w:widowControl w:val="0"/>
      <w:suppressAutoHyphens/>
      <w:spacing w:after="80"/>
      <w:jc w:val="center"/>
    </w:pPr>
    <w:rPr>
      <w:b/>
    </w:rPr>
  </w:style>
  <w:style w:type="paragraph" w:customStyle="1" w:styleId="21">
    <w:name w:val="Фирма"/>
    <w:basedOn w:val="1"/>
    <w:next w:val="12"/>
    <w:qFormat/>
    <w:uiPriority w:val="0"/>
    <w:pPr>
      <w:keepNext/>
      <w:spacing w:after="80"/>
      <w:jc w:val="center"/>
    </w:pPr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1895</Words>
  <Characters>10808</Characters>
  <Lines>90</Lines>
  <Paragraphs>25</Paragraphs>
  <TotalTime>14</TotalTime>
  <ScaleCrop>false</ScaleCrop>
  <LinksUpToDate>false</LinksUpToDate>
  <CharactersWithSpaces>12678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2023-11-14T13:05:00Z</dcterms:created>
  <dc:creator>Левин Вадим Александрович</dc:creator>
  <cp:lastModifiedBy>varva</cp:lastModifiedBy>
  <dcterms:modified xsi:type="dcterms:W3CDTF">2023-11-21T10:41:58Z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0E026F87B77D46A0B23FA091659E35BF_13</vt:lpwstr>
  </property>
</Properties>
</file>