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ascii="Arial" w:hAnsi="Arial"/>
        </w:rPr>
      </w:pPr>
      <w:r>
        <w:rPr>
          <w:rFonts w:ascii="Arial" w:hAnsi="Arial"/>
        </w:rPr>
        <w:t>01</w:t>
      </w:r>
    </w:p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теории управления и динамики систем, Научно-образовательный математический центр “Математика технологий будущего” Нижегородского государственного университета им. Н.И. Лобачевского, Нижний Новгород</w:t>
      </w:r>
    </w:p>
    <w:p>
      <w:pPr>
        <w:pStyle w:val="2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  <w:lang w:val="en-US"/>
        </w:rPr>
        <w:t>E</w:t>
      </w:r>
      <w:r>
        <w:rPr>
          <w:i w:val="0"/>
          <w:iCs/>
          <w:sz w:val="24"/>
          <w:szCs w:val="24"/>
        </w:rPr>
        <w:t>-</w:t>
      </w:r>
      <w:r>
        <w:rPr>
          <w:i w:val="0"/>
          <w:iCs/>
          <w:sz w:val="24"/>
          <w:szCs w:val="24"/>
          <w:lang w:val="en-US"/>
        </w:rPr>
        <w:t>mail</w:t>
      </w:r>
      <w:r>
        <w:rPr>
          <w:i w:val="0"/>
          <w:iCs/>
          <w:sz w:val="24"/>
          <w:szCs w:val="24"/>
        </w:rPr>
        <w:t xml:space="preserve">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</w:t>
      </w:r>
      <w:r>
        <w:rPr>
          <w:rStyle w:val="7"/>
          <w:i w:val="0"/>
          <w:iCs/>
          <w:sz w:val="24"/>
          <w:szCs w:val="24"/>
        </w:rPr>
        <w:t>@</w:t>
      </w:r>
      <w:r>
        <w:rPr>
          <w:rStyle w:val="7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</w:rPr>
        <w:t>.</w:t>
      </w:r>
      <w:r>
        <w:rPr>
          <w:rStyle w:val="7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(роя) мобильных агентов  с использованием эффекта хаотической фазовой синхронизации. Показывается возможность управления движением ансамбля и определяются условия устойчивости полученных структур.</w:t>
      </w:r>
    </w:p>
    <w:p>
      <w:pPr>
        <w:spacing w:line="360" w:lineRule="auto"/>
        <w:ind w:left="1134"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hint="default" w:eastAsia="Calibri"/>
          <w:sz w:val="24"/>
          <w:szCs w:val="24"/>
          <w:lang w:val="ru-RU" w:eastAsia="ru-RU"/>
        </w:rPr>
        <w:t>Ключевые</w:t>
      </w:r>
      <w:r>
        <w:rPr>
          <w:rFonts w:hint="default" w:eastAsia="Calibri"/>
          <w:sz w:val="24"/>
          <w:szCs w:val="24"/>
          <w:lang w:val="en-US" w:eastAsia="ru-RU"/>
        </w:rPr>
        <w:t xml:space="preserve"> слова: </w:t>
      </w:r>
      <w:r>
        <w:rPr>
          <w:rFonts w:hint="default" w:eastAsia="Calibri"/>
          <w:sz w:val="24"/>
          <w:szCs w:val="24"/>
          <w:lang w:val="ru-RU" w:eastAsia="ru-RU"/>
        </w:rPr>
        <w:t>мобильный</w:t>
      </w:r>
      <w:r>
        <w:rPr>
          <w:rFonts w:hint="default" w:eastAsia="Calibri"/>
          <w:sz w:val="24"/>
          <w:szCs w:val="24"/>
          <w:lang w:val="en-US" w:eastAsia="ru-RU"/>
        </w:rPr>
        <w:t xml:space="preserve"> агент, синхронизация, управление движением ансамбля, осциллятор Рёсслера.</w:t>
      </w:r>
    </w:p>
    <w:p>
      <w:pPr>
        <w:spacing w:line="360" w:lineRule="auto"/>
        <w:ind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[1-</w:t>
      </w:r>
      <w:r>
        <w:rPr>
          <w:rFonts w:eastAsia="Calibri"/>
          <w:color w:val="FF0000"/>
          <w:sz w:val="24"/>
          <w:szCs w:val="24"/>
          <w:lang w:eastAsia="ru-RU"/>
        </w:rPr>
        <w:t>4</w:t>
      </w:r>
      <w:r>
        <w:rPr>
          <w:rFonts w:eastAsia="Calibri"/>
          <w:sz w:val="24"/>
          <w:szCs w:val="24"/>
          <w:lang w:eastAsia="ru-RU"/>
        </w:rPr>
        <w:t xml:space="preserve">]. Главным объектом большинства исследований в области коллективной динамики является синхронизация [5, </w:t>
      </w:r>
      <w:r>
        <w:rPr>
          <w:rFonts w:eastAsia="Calibri"/>
          <w:color w:val="FF0000"/>
          <w:sz w:val="24"/>
          <w:szCs w:val="24"/>
          <w:lang w:eastAsia="ru-RU"/>
        </w:rPr>
        <w:t>6</w:t>
      </w:r>
      <w:r>
        <w:rPr>
          <w:rFonts w:eastAsia="Calibri"/>
          <w:sz w:val="24"/>
          <w:szCs w:val="24"/>
          <w:lang w:eastAsia="ru-RU"/>
        </w:rPr>
        <w:t xml:space="preserve">], которая сильно зависит от топологии связей ансамбля [7, </w:t>
      </w:r>
      <w:r>
        <w:rPr>
          <w:rFonts w:eastAsia="Calibri"/>
          <w:color w:val="FF0000"/>
          <w:sz w:val="24"/>
          <w:szCs w:val="24"/>
          <w:lang w:eastAsia="ru-RU"/>
        </w:rPr>
        <w:t>8</w:t>
      </w:r>
      <w:r>
        <w:rPr>
          <w:rFonts w:eastAsia="Calibri"/>
          <w:sz w:val="24"/>
          <w:szCs w:val="24"/>
          <w:lang w:eastAsia="ru-RU"/>
        </w:rPr>
        <w:t>]. Можно выделить три основные типа связей в ансамблях: локальная (связь с ближайшими соседями), нелокальная (связь не только с ближайшими соседями), глобальная (связь по принципу   “каждый с каждым” [</w:t>
      </w:r>
      <w:r>
        <w:rPr>
          <w:rFonts w:eastAsia="Calibri"/>
          <w:color w:val="FF0000"/>
          <w:sz w:val="24"/>
          <w:szCs w:val="24"/>
          <w:lang w:eastAsia="ru-RU"/>
        </w:rPr>
        <w:t>9</w:t>
      </w:r>
      <w:r>
        <w:rPr>
          <w:rFonts w:eastAsia="Calibri"/>
          <w:sz w:val="24"/>
          <w:szCs w:val="24"/>
          <w:lang w:eastAsia="ru-RU"/>
        </w:rPr>
        <w:t>, 10]. Чаще всего такие связи имеют стационарный характер, т.е. топология  и сила связей не меняются во времени. 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[11]. Системы, в которых помимо силы связи может изменяться и положение узлов, удобно рассматривать как ансамбли мобильных агентов [12-</w:t>
      </w:r>
      <w:r>
        <w:rPr>
          <w:rFonts w:eastAsia="Calibri"/>
          <w:color w:val="FF0000"/>
          <w:sz w:val="24"/>
          <w:szCs w:val="24"/>
          <w:lang w:eastAsia="ru-RU"/>
        </w:rPr>
        <w:t>15</w:t>
      </w:r>
      <w:r>
        <w:rPr>
          <w:rFonts w:eastAsia="Calibri"/>
          <w:sz w:val="24"/>
          <w:szCs w:val="24"/>
          <w:lang w:eastAsia="ru-RU"/>
        </w:rPr>
        <w:t>]. Таким образом удалось рассмотреть: синхронизацию мобильных роботов [16], локализацию объектов распределённой следящей системой [17] и другие работы. В работе [18] представлены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 w:eastAsia="Times New Roman"/>
          <w:color w:val="FF0000"/>
          <w:sz w:val="24"/>
          <w:szCs w:val="24"/>
          <w:lang w:val="ru-RU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 - </w:t>
      </w:r>
      <w:r>
        <w:rPr>
          <w:sz w:val="24"/>
          <w:szCs w:val="24"/>
        </w:rPr>
        <w:t>положительные параметры. В последующих экспериментах</w:t>
      </w:r>
      <w:r>
        <w:rPr>
          <w:rFonts w:hint="default"/>
          <w:sz w:val="24"/>
          <w:szCs w:val="24"/>
          <w:lang w:val="ru-RU"/>
        </w:rPr>
        <w:t xml:space="preserve"> примем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8.5,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параметр, характеризующий временные масштабы осцилляций -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</w:rPr>
              <m:t xml:space="preserve">   </m:t>
            </m:r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>∈[0.93, 1.07]</m:t>
        </m:r>
      </m:oMath>
      <w:r>
        <w:rPr>
          <w:rFonts w:hAnsi="Cambria Math" w:eastAsia="Times New Roman"/>
          <w:sz w:val="24"/>
          <w:szCs w:val="24"/>
        </w:rPr>
        <w:t>.</w:t>
      </w:r>
      <w:r>
        <w:rPr>
          <w:rFonts w:hint="default" w:hAnsi="Cambria Math"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color w:val="FF0000"/>
          <w:sz w:val="24"/>
          <w:szCs w:val="24"/>
        </w:rPr>
        <w:t>У каждого осциллятора своя усредн</w:t>
      </w:r>
      <w:r>
        <w:rPr>
          <w:rFonts w:eastAsia="Times New Roman"/>
          <w:color w:val="FF0000"/>
          <w:sz w:val="24"/>
          <w:szCs w:val="24"/>
          <w:lang w:val="ru-RU"/>
        </w:rPr>
        <w:t>ё</w:t>
      </w:r>
      <w:r>
        <w:rPr>
          <w:rFonts w:eastAsia="Times New Roman"/>
          <w:color w:val="FF0000"/>
          <w:sz w:val="24"/>
          <w:szCs w:val="24"/>
        </w:rPr>
        <w:t>нная частота хаотических колебаний, вычисляемая по формуле</w:t>
      </w:r>
      <w:r>
        <w:rPr>
          <w:rFonts w:hint="default" w:eastAsia="Times New Roman"/>
          <w:color w:val="FF0000"/>
          <w:sz w:val="24"/>
          <w:szCs w:val="24"/>
          <w:lang w:val="en-US"/>
        </w:rPr>
        <w:t xml:space="preserve"> (2):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color w:val="FF0000"/>
                <w:sz w:val="24"/>
                <w:szCs w:val="24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eastAsia="Times New Roman"/>
                    <w:color w:val="FF0000"/>
                    <w:sz w:val="24"/>
                    <w:szCs w:val="24"/>
                    <w:lang w:val="en-US"/>
                  </w:rPr>
                  <m:t>v=</m:t>
                </m:r>
                <m:f>
                  <m:fPr>
                    <m:ctrlPr>
                      <w:rPr>
                        <w:rFonts w:hint="default" w:ascii="Cambria Math" w:hAnsi="Cambria Math" w:eastAsia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eastAsia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e>
                    </m:acc>
                    <m:acc>
                      <m:accPr>
                        <m:chr m:val="̈"/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eastAsia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Cambria Math" w:hAnsi="Cambria Math" w:eastAsia="Times New Roman"/>
                        <w:color w:val="FF0000"/>
                        <w:sz w:val="24"/>
                        <w:szCs w:val="24"/>
                        <w:lang w:val="en-US"/>
                      </w:rPr>
                      <m:t>−</m:t>
                    </m:r>
                    <m:acc>
                      <m:accPr>
                        <m:chr m:val="̇"/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eastAsia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e>
                    </m:acc>
                    <m:acc>
                      <m:accPr>
                        <m:chr m:val="̈"/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Cambria Math" w:hAnsi="Cambria Math" w:eastAsia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eastAsia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hint="default" w:ascii="Cambria Math" w:hAnsi="Cambria Math" w:eastAsia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default" w:ascii="Cambria Math" w:hAnsi="Cambria Math" w:eastAsia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eastAsia="Times New Roman"/>
                        <w:color w:val="FF0000"/>
                        <w:sz w:val="24"/>
                        <w:szCs w:val="24"/>
                        <w:lang w:val="en-US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hint="default" w:ascii="Cambria Math" w:hAnsi="Cambria Math" w:eastAsia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default" w:ascii="Cambria Math" w:hAnsi="Cambria Math" w:eastAsia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eastAsia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eastAsia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Организацию управления движением ансамбля мобильных агентов в пространстве можно разбить на два этапа: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color w:val="92D050"/>
          <w:sz w:val="24"/>
          <w:szCs w:val="24"/>
          <w:lang w:val="ru-RU"/>
        </w:rPr>
        <w:t>установление определённой конфигурации агентов и выведение агентов на заданную траекторию движения.</w:t>
      </w:r>
    </w:p>
    <w:p>
      <w:pPr>
        <w:numPr>
          <w:ilvl w:val="0"/>
          <w:numId w:val="1"/>
        </w:num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Установление конфигурации агентов.</w:t>
      </w:r>
    </w:p>
    <w:p>
      <w:pPr>
        <w:numPr>
          <w:ilvl w:val="0"/>
          <w:numId w:val="1"/>
        </w:num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Выведение агентов на заданную траекторию движения.</w:t>
      </w:r>
    </w:p>
    <w:p>
      <w:pPr>
        <w:spacing w:line="360" w:lineRule="auto"/>
        <w:ind w:firstLine="284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Для решения поставленных задач мы используем  методы: хаотической фазовой синхронизации (для задания ансамблю агентов определённой конфигурации их расположения в трёхмерном пространстве) и вынужденной синхронизацией (для обеспечения достижения заданного закона движения в пространстве). Под хаотической фазовой синхронизацией понимается процесс установления при достаточно сильной связи между взаимодействующими хаотическими осцилляторами одинаковой усредн</w:t>
      </w:r>
      <w:r>
        <w:rPr>
          <w:sz w:val="24"/>
          <w:szCs w:val="24"/>
          <w:lang w:val="ru-RU"/>
        </w:rPr>
        <w:t>ё</w:t>
      </w:r>
      <w:r>
        <w:rPr>
          <w:sz w:val="24"/>
          <w:szCs w:val="24"/>
        </w:rPr>
        <w:t>нной частоты колебаний и ограниченной по модулю разности фаз (фазовому сдвигу) осцилляторов</w:t>
      </w:r>
      <w:r>
        <w:rPr>
          <w:rFonts w:hint="default"/>
          <w:sz w:val="24"/>
          <w:szCs w:val="24"/>
          <w:lang w:val="en-US"/>
        </w:rPr>
        <w:t xml:space="preserve"> [19]</w:t>
      </w:r>
      <w:r>
        <w:rPr>
          <w:sz w:val="24"/>
          <w:szCs w:val="24"/>
        </w:rPr>
        <w:t xml:space="preserve">. </w:t>
      </w:r>
    </w:p>
    <w:p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Целью нашего исследования является создание такого ансамбля агентов, в котором  взаимодействия агентов  с соседями начинаются  только при их достаточной,  наперёд заданной  близости, поэтому при любой конфигурации связь между агентами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- тым </w:t>
      </w:r>
      <m:oMath>
        <m:r>
          <m:rPr/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- тым и</w:t>
      </w:r>
      <w:r>
        <w:rPr>
          <w:rFonts w:hAnsi="Cambria Math"/>
          <w:iCs/>
          <w:sz w:val="24"/>
          <w:szCs w:val="24"/>
        </w:rPr>
        <w:t xml:space="preserve"> </w:t>
      </w:r>
      <w:r>
        <w:rPr>
          <w:rFonts w:hAnsi="Cambria Math"/>
          <w:i/>
          <w:sz w:val="24"/>
          <w:szCs w:val="24"/>
        </w:rPr>
        <w:t xml:space="preserve"> </w:t>
      </w:r>
      <w:r>
        <w:rPr>
          <w:sz w:val="24"/>
          <w:szCs w:val="24"/>
        </w:rPr>
        <w:t>будет удовлетворять условию (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bCs/>
                <w:sz w:val="24"/>
                <w:szCs w:val="24"/>
                <w:lang w:val="ru-RU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связи.  В нашем исследовании. </w:t>
      </w:r>
      <w:r>
        <w:rPr>
          <w:sz w:val="24"/>
          <w:szCs w:val="24"/>
        </w:rPr>
        <w:t xml:space="preserve">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4,</m:t>
        </m:r>
      </m:oMath>
      <w:r>
        <w:rPr>
          <w:rFonts w:hint="default" w:hAnsi="Cambria Math"/>
          <w:i w:val="0"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 xml:space="preserve">Т.е. агенты начинают взаимодействовать при попадании в шар радиуса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>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Начальные условия всех осцилляторов разные</w:t>
      </w:r>
      <w:r>
        <w:rPr>
          <w:rFonts w:hint="default"/>
          <w:iCs/>
          <w:sz w:val="24"/>
          <w:szCs w:val="24"/>
          <w:lang w:val="ru-RU"/>
        </w:rPr>
        <w:t>.</w:t>
      </w:r>
      <w:r>
        <w:rPr>
          <w:iCs/>
          <w:sz w:val="24"/>
          <w:szCs w:val="24"/>
        </w:rPr>
        <w:t xml:space="preserve"> С течением времени в силу хаотичности движений изображающие точки рано или поздно сближаются на расстояние меньше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>. Между агентами возникает взаимодействие и, если связь достаточно сильная, то агенты синхронизуются.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 xml:space="preserve">Далее все большее число агентов сближаются на расстояние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 xml:space="preserve"> и синхронизуются</w:t>
      </w:r>
      <w:r>
        <w:rPr>
          <w:iCs/>
          <w:sz w:val="24"/>
          <w:szCs w:val="24"/>
          <w:highlight w:val="none"/>
        </w:rPr>
        <w:t xml:space="preserve">. </w:t>
      </w:r>
      <w:r>
        <w:rPr>
          <w:i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Образуются кластеры синхронизованных агентов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Фазовые траектории при этом близки, но имеет место фазовый сдвиг</w:t>
      </w:r>
      <w:r>
        <w:rPr>
          <w:rFonts w:hint="default"/>
          <w:i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iCs/>
          <w:sz w:val="24"/>
          <w:szCs w:val="24"/>
        </w:rPr>
        <w:t xml:space="preserve"> В итоге достигается глобальная хаотическая фазовая синхронизация,  в результате  которой агенты двигаются  друг за другом «по цепочке».  Результат численных экспериментов (глобальная  синхронизация агентов) представлен на Рис. 1а.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Кроме последовательно движения агентов уда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тся реализовать их параллельное движение – движение в виде «единого строя». Параллельное движение достигается с помощью введения  «отталкивающей» связи по координате </w:t>
      </w:r>
      <m:oMath>
        <m:r>
          <m:rPr/>
          <w:rPr>
            <w:rFonts w:hint="default" w:ascii="Cambria Math" w:hAnsi="Cambria Math"/>
            <w:sz w:val="24"/>
            <w:szCs w:val="24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iCs/>
          <w:sz w:val="24"/>
          <w:szCs w:val="24"/>
        </w:rPr>
        <w:t xml:space="preserve">Аналогично случаю последовательного движения с течением времени образуются пары, тройки и т.д. параллельно двигающихся агентов.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отличие от последовательно движения  </w:t>
      </w: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>-го агентов введ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нная описанным выше способом связь приводит к появлению противоположно направленные силы взаимодействия, что заставляет агентов находится на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нном перпендикулярном к движению расстоянии. Т.</w:t>
      </w:r>
      <w:r>
        <w:rPr>
          <w:iCs/>
          <w:sz w:val="24"/>
          <w:szCs w:val="24"/>
          <w:lang w:val="ru-RU"/>
        </w:rPr>
        <w:t>е</w:t>
      </w:r>
      <w:r>
        <w:rPr>
          <w:iCs/>
          <w:sz w:val="24"/>
          <w:szCs w:val="24"/>
        </w:rPr>
        <w:t xml:space="preserve">. за счёт «отталкивающей» связи агенты начинают двигаться одним рядом, параллельно друг другу.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Поведение элементов при данной связи проиллюстрировано на Рис. 1б.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используем 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организации подобного движения введём параметры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</w:rPr>
        <w:t>С течением времени за сч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iCs/>
          <w:sz w:val="24"/>
          <w:szCs w:val="24"/>
        </w:rPr>
        <w:t>т синхронизации агенты,  связанные как «притягивающей», так и «отталкивающей»  связями начинают формировать группы последовательно и параллельно двигающихся агентов синхронизируются в группы. Далее происходит  объединение агентов  в единый  кластер в виде структуры , привед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iCs/>
          <w:sz w:val="24"/>
          <w:szCs w:val="24"/>
        </w:rPr>
        <w:t>нной на Рис. 1в.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разделе мы рассматриваем результаты по над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жности существования заданных геометрических структур ансамблей агентов. Т.е. определя</w:t>
      </w:r>
      <w:r>
        <w:rPr>
          <w:rFonts w:hint="default"/>
          <w:iCs/>
          <w:sz w:val="24"/>
          <w:szCs w:val="24"/>
          <w:lang w:val="ru-RU"/>
        </w:rPr>
        <w:t>ю</w:t>
      </w:r>
      <w:r>
        <w:rPr>
          <w:iCs/>
          <w:sz w:val="24"/>
          <w:szCs w:val="24"/>
        </w:rPr>
        <w:t xml:space="preserve">тся зависимости структурной устойчивости ансамбля при удалении из него части агентов. Рассмотрим два способа выбивания агентов из структуры. 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Выбивание элементов из центра роя.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кластеров. В результате экспериментов на структуре 10х10 при удалении 12 элементов  уже наступает разделение структуры на два кластера (Таблица 1). Интересно отметить, что при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нных условиях появляются уедин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нные агенты, которое за все время наблюдения не примыкают ни к одному из кластеров. 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Выбивание случайных элементов.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из систем</w:t>
      </w:r>
      <w:r>
        <w:rPr>
          <w:iCs/>
          <w:sz w:val="24"/>
          <w:szCs w:val="24"/>
          <w:lang w:val="ru-RU"/>
        </w:rPr>
        <w:t>ы</w:t>
      </w:r>
      <w:r>
        <w:rPr>
          <w:iCs/>
          <w:sz w:val="24"/>
          <w:szCs w:val="24"/>
        </w:rPr>
        <w:t xml:space="preserve"> (</w:t>
      </w:r>
      <w:r>
        <w:rPr>
          <w:rFonts w:hint="default"/>
          <w:iCs/>
          <w:sz w:val="24"/>
          <w:szCs w:val="24"/>
          <w:lang w:val="ru-RU"/>
        </w:rPr>
        <w:t>6</w:t>
      </w:r>
      <w:r>
        <w:rPr>
          <w:iCs/>
          <w:sz w:val="24"/>
          <w:szCs w:val="24"/>
        </w:rPr>
        <w:t>), что при удалении целой строки агентов глобальная связь ансамбля теряется и рой разобьётся как минимум на две части - до и после удалённой строки. Результаты представлены в Таблица 2.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деактивацию всех агентов -  перемещение их в заданную точку пространства.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hint="default" w:eastAsia="Times New Roman"/>
                <w:sz w:val="24"/>
                <w:szCs w:val="24"/>
                <w:lang w:val="ru-RU"/>
              </w:rPr>
              <w:t>7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-отрицательный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При заданном наборе параметров система (</w:t>
      </w:r>
      <w:r>
        <w:rPr>
          <w:rFonts w:hint="default" w:eastAsia="Times New Roman"/>
          <w:sz w:val="24"/>
          <w:szCs w:val="24"/>
          <w:lang w:val="ru-RU"/>
        </w:rPr>
        <w:t>7</w:t>
      </w:r>
      <w:r>
        <w:rPr>
          <w:rFonts w:eastAsia="Times New Roman"/>
          <w:sz w:val="24"/>
          <w:szCs w:val="24"/>
        </w:rPr>
        <w:t>) имеет единственный аттрактор - устойчивое состояние равновесия в точке (0,0).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Именно в эту точку должен прийти весь ансамбль.</w:t>
      </w:r>
      <w:r>
        <w:rPr>
          <w:rFonts w:eastAsia="Times New Roman"/>
          <w:sz w:val="24"/>
          <w:szCs w:val="24"/>
        </w:rPr>
        <w:t xml:space="preserve"> Чем больше</w:t>
      </w:r>
      <w:r>
        <w:rPr>
          <w:rFonts w:hint="default" w:eastAsia="Times New Roman"/>
          <w:sz w:val="24"/>
          <w:szCs w:val="24"/>
          <w:lang w:val="ru-RU"/>
        </w:rPr>
        <w:t xml:space="preserve"> (по модулю)</w:t>
      </w:r>
      <w:r>
        <w:rPr>
          <w:rFonts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тем быстрее ансамбль попадает в заданную точку. Очевидно, что управляющая траектория может быть любой. Это может быть заданное регулярное или хаотическое движение. 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</w:t>
      </w:r>
      <w:r>
        <w:rPr>
          <w:rFonts w:hint="default" w:eastAsia="Times New Roman"/>
          <w:sz w:val="24"/>
          <w:szCs w:val="24"/>
          <w:lang w:val="ru-RU"/>
        </w:rPr>
        <w:t>6</w:t>
      </w:r>
      <w:r>
        <w:rPr>
          <w:rFonts w:eastAsia="Times New Roman"/>
          <w:sz w:val="24"/>
          <w:szCs w:val="24"/>
        </w:rPr>
        <w:t>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 В результате все агенты приходят в окрестность состояния равновесия (0,0)  (Рис. 2).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синхронизации и управления коллективной динамикой роя мобильных хаотических агентов -  осциллятора Рёсслера</w:t>
      </w:r>
      <w:r>
        <w:rPr>
          <w:iCs/>
          <w:sz w:val="24"/>
          <w:szCs w:val="24"/>
        </w:rPr>
        <w:t xml:space="preserve"> оказалось возможным получить заданные типы движений мобильных агентов в тр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хмерном пространстве: последовательное – один за другим на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нном расстоянии, которым можно управлять, параллельное – «единым фронтом», в виде заданных геометрических структур. Все предложенные способы структурообразования роя мобильных агентов можно рассматривать как процессы самоорганизации. Было рассмотрено влияние количества выбиваемые агентов из ансамбля (за сч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т разрыва межэлементных связей) на полученную структуру. Также продемонстрировано, что при помощи </w:t>
      </w:r>
      <w:r>
        <w:rPr>
          <w:rFonts w:eastAsia="Times New Roman"/>
          <w:sz w:val="24"/>
          <w:szCs w:val="24"/>
        </w:rPr>
        <w:t>«внешнего» агента возможно задать рою требуемую траекторию движения. Например, «посадить» рой в заданной точке.</w:t>
      </w:r>
      <w:r>
        <w:rPr>
          <w:rFonts w:eastAsia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Работа выполнена при финансовой поддержке </w:t>
      </w:r>
      <w:r>
        <w:rPr>
          <w:iCs/>
          <w:sz w:val="24"/>
          <w:szCs w:val="24"/>
        </w:rPr>
        <w:t>гранта РНФ #23-12-00180 (задача синхронизации) и проекта № 0729-2020-0036 Министерства науки и высшего образования Российской Федерации (задача управления)</w:t>
      </w:r>
    </w:p>
    <w:p>
      <w:pPr>
        <w:pStyle w:val="3"/>
        <w:rPr>
          <w:iCs/>
          <w:sz w:val="24"/>
          <w:szCs w:val="24"/>
          <w:highlight w:val="none"/>
        </w:rPr>
      </w:pPr>
      <w:r>
        <w:rPr>
          <w:highlight w:val="none"/>
        </w:rPr>
        <w:t>Список литературы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[1] </w:t>
      </w: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[2] </w:t>
      </w:r>
      <w:r>
        <w:rPr>
          <w:rFonts w:eastAsia="Calibri"/>
          <w:color w:val="FF0000"/>
          <w:sz w:val="24"/>
          <w:szCs w:val="24"/>
          <w:lang w:val="en-US" w:eastAsia="zh-CN"/>
        </w:rPr>
        <w:t>A. Barciś, C. Bettstetter, "Sandsbots: Robots That Sync and Swarm," in IEEE Access, vol. 8, pp. 218752-218764 (2020). DOI: 10.1109/ACCESS.2020.3041393.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[3] </w:t>
      </w:r>
      <w:r>
        <w:rPr>
          <w:rFonts w:eastAsia="Calibri"/>
          <w:color w:val="FF0000"/>
          <w:sz w:val="24"/>
          <w:szCs w:val="24"/>
          <w:lang w:val="en-US" w:eastAsia="zh-CN"/>
        </w:rPr>
        <w:t>Ramírez-Ávila, G.M., Kurths, J., Depickère, S., Deneubourg, JL, Modeling Fireflies Synchronization. In: Macau, E. (eds) A Mathematical Modeling Approach from Nonlinear Dynamics to Complex Systems. Nonlinear Systems and Complexity, vol. 22. Springer, Cham (2019). DOI: 10.1007/978-3-319-78512-7_8.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[4] </w:t>
      </w:r>
      <w:r>
        <w:rPr>
          <w:rFonts w:eastAsia="Calibri"/>
          <w:color w:val="FF0000"/>
          <w:sz w:val="24"/>
          <w:szCs w:val="24"/>
          <w:lang w:val="en-US" w:eastAsia="zh-CN"/>
        </w:rPr>
        <w:t>L. M. Pecora, T. L. Carroll; Synchronization of chaotic systems. Chaos (2015); 25 (9): 097611. DOI: 10.1103/PhysRevE.99.042203.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[5] </w:t>
      </w:r>
      <w:r>
        <w:rPr>
          <w:rFonts w:eastAsia="Calibri"/>
          <w:sz w:val="24"/>
          <w:szCs w:val="24"/>
          <w:lang w:val="en-US" w:eastAsia="zh-CN"/>
        </w:rPr>
        <w:t>T. Weng, X. Chen, 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[6] </w:t>
      </w:r>
      <w:r>
        <w:rPr>
          <w:rFonts w:eastAsia="Calibri"/>
          <w:color w:val="FF0000"/>
          <w:sz w:val="24"/>
          <w:szCs w:val="24"/>
          <w:lang w:val="en-US" w:eastAsia="zh-CN"/>
        </w:rPr>
        <w:t>A. Arenas, A. Díaz-Guilera, et al. Synchronization in complex networks, Physics Reports, vol. 469, Issue 3, (2008), pp 93-153, ISSN 0370-1573. DOI: 10.1016/j.physrep.2008.09.002.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[7] </w:t>
      </w: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[8] </w:t>
      </w:r>
      <w:r>
        <w:rPr>
          <w:rFonts w:eastAsia="Calibri"/>
          <w:color w:val="FF0000"/>
          <w:sz w:val="24"/>
          <w:szCs w:val="24"/>
          <w:lang w:val="en-US" w:eastAsia="zh-CN"/>
        </w:rPr>
        <w:t>E. Shajan, D. Ghosh, et al. Direction-dependent noise-induced synchronization in mobile oscillators. Chaos (2023); 33 (5): 053108. DOI: 10.1063/5.0146983.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[9] </w:t>
      </w:r>
      <w:r>
        <w:rPr>
          <w:rFonts w:eastAsia="Calibri"/>
          <w:color w:val="FF0000"/>
          <w:sz w:val="24"/>
          <w:szCs w:val="24"/>
          <w:lang w:val="en-US" w:eastAsia="zh-CN"/>
        </w:rPr>
        <w:t>X. Ling, W. B. Ju, N. Guo, et al. Explosive synchronization in network of mobile oscillators, Physics Letters A, Volume 384, Issue 35, (2020), 126881, ISSN 0375-9601. DOI: 10.1016/j.physleta.2020.126881.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[10] </w:t>
      </w: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[11] </w:t>
      </w: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pp. 2597-2604. DOI: 10.1109/TAC.2021.3088805.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[12] </w:t>
      </w: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99, 4 January 2019, 012308. DOI: 10.1103/PhysRevE.99.012308.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[13] </w:t>
      </w:r>
      <w:r>
        <w:rPr>
          <w:rFonts w:eastAsia="Calibri"/>
          <w:color w:val="FF0000"/>
          <w:sz w:val="24"/>
          <w:szCs w:val="24"/>
          <w:lang w:val="en-US" w:eastAsia="zh-CN"/>
        </w:rPr>
        <w:t>J. Zhou 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"https://orcid.org/0000-0002-0997-3496" \t "https://iopscience.iop.org/article/10.1088/1367-2630/ab9851/_blank" 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  <w:r>
        <w:rPr>
          <w:rFonts w:eastAsia="Calibri"/>
          <w:color w:val="FF0000"/>
          <w:sz w:val="24"/>
          <w:szCs w:val="24"/>
          <w:lang w:val="en-US" w:eastAsia="zh-CN"/>
        </w:rPr>
        <w:t xml:space="preserve">, G. Xiao, H Eugene, Stanley Control of mobile chaotic agents with jump-based connection adaption strategy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"https://iopscience.iop.org/journal/1367-2630" </w:instrText>
      </w:r>
      <w:r>
        <w:rPr>
          <w:color w:val="FF0000"/>
        </w:rPr>
        <w:fldChar w:fldCharType="separate"/>
      </w:r>
      <w:r>
        <w:rPr>
          <w:rFonts w:eastAsia="Calibri"/>
          <w:color w:val="FF0000"/>
          <w:sz w:val="24"/>
          <w:szCs w:val="24"/>
          <w:lang w:val="en-US" w:eastAsia="zh-CN"/>
        </w:rPr>
        <w:t>New Journal of Physics</w:t>
      </w:r>
      <w:r>
        <w:rPr>
          <w:rFonts w:eastAsia="Calibri"/>
          <w:color w:val="FF0000"/>
          <w:sz w:val="24"/>
          <w:szCs w:val="24"/>
          <w:lang w:val="en-US" w:eastAsia="zh-CN"/>
        </w:rPr>
        <w:fldChar w:fldCharType="end"/>
      </w:r>
      <w:r>
        <w:rPr>
          <w:rFonts w:eastAsia="Calibri"/>
          <w:color w:val="FF0000"/>
          <w:sz w:val="24"/>
          <w:szCs w:val="24"/>
          <w:lang w:val="en-US" w:eastAsia="zh-CN"/>
        </w:rPr>
        <w:t>, 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"https://iopscience.iop.org/volume/1367-2630/22" </w:instrText>
      </w:r>
      <w:r>
        <w:rPr>
          <w:color w:val="FF0000"/>
        </w:rPr>
        <w:fldChar w:fldCharType="separate"/>
      </w:r>
      <w:r>
        <w:rPr>
          <w:rFonts w:eastAsia="Calibri"/>
          <w:color w:val="FF0000"/>
          <w:sz w:val="24"/>
          <w:szCs w:val="24"/>
          <w:lang w:val="en-US" w:eastAsia="zh-CN"/>
        </w:rPr>
        <w:t xml:space="preserve"> vol. 22</w:t>
      </w:r>
      <w:r>
        <w:rPr>
          <w:rFonts w:eastAsia="Calibri"/>
          <w:color w:val="FF0000"/>
          <w:sz w:val="24"/>
          <w:szCs w:val="24"/>
          <w:lang w:val="en-US" w:eastAsia="zh-CN"/>
        </w:rPr>
        <w:fldChar w:fldCharType="end"/>
      </w:r>
      <w:r>
        <w:rPr>
          <w:rFonts w:eastAsia="Calibri"/>
          <w:color w:val="FF0000"/>
          <w:sz w:val="24"/>
          <w:szCs w:val="24"/>
          <w:lang w:val="en-US" w:eastAsia="zh-CN"/>
        </w:rPr>
        <w:t>, 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"https://iopscience.iop.org/issue/1367-2630/22/7" </w:instrText>
      </w:r>
      <w:r>
        <w:rPr>
          <w:color w:val="FF0000"/>
        </w:rPr>
        <w:fldChar w:fldCharType="separate"/>
      </w:r>
      <w:r>
        <w:rPr>
          <w:rFonts w:eastAsia="Calibri"/>
          <w:color w:val="FF0000"/>
          <w:sz w:val="24"/>
          <w:szCs w:val="24"/>
          <w:lang w:val="en-US" w:eastAsia="zh-CN"/>
        </w:rPr>
        <w:t>July 2020</w:t>
      </w:r>
      <w:r>
        <w:rPr>
          <w:rFonts w:eastAsia="Calibri"/>
          <w:color w:val="FF0000"/>
          <w:sz w:val="24"/>
          <w:szCs w:val="24"/>
          <w:lang w:val="en-US" w:eastAsia="zh-CN"/>
        </w:rPr>
        <w:fldChar w:fldCharType="end"/>
      </w:r>
      <w:r>
        <w:rPr>
          <w:rFonts w:eastAsia="Calibri"/>
          <w:color w:val="FF0000"/>
          <w:sz w:val="24"/>
          <w:szCs w:val="24"/>
          <w:lang w:val="en-US" w:eastAsia="zh-CN"/>
        </w:rPr>
        <w:t>. DOI: 10.1088/1367-2630/ab9851.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val="en-US"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[14] </w:t>
      </w:r>
      <w:r>
        <w:rPr>
          <w:rFonts w:eastAsia="Calibri"/>
          <w:color w:val="FF0000"/>
          <w:sz w:val="24"/>
          <w:szCs w:val="24"/>
          <w:lang w:val="en-US" w:eastAsia="zh-CN"/>
        </w:rPr>
        <w:t>S. N. Chowdhury, S. Majhi and D. Ghosh, "Distance Dependent Competitive Interactions in a Frustrated Network of Mobile Agents," in IEEE Transactions on Network Science and Engineering, vol. 7, no. 4, pp. 3159-3170, 1 Oct.-Dec. 2020. DOI: 10.1109/TNSE.2020.3017495.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color w:val="FF0000"/>
          <w:sz w:val="24"/>
          <w:szCs w:val="24"/>
          <w:lang w:eastAsia="zh-CN"/>
        </w:rPr>
      </w:pPr>
      <w:r>
        <w:rPr>
          <w:rFonts w:hint="default" w:eastAsia="Calibri"/>
          <w:color w:val="FF0000"/>
          <w:sz w:val="24"/>
          <w:szCs w:val="24"/>
          <w:lang w:val="en-US" w:eastAsia="zh-CN"/>
        </w:rPr>
        <w:t xml:space="preserve">[15] </w:t>
      </w:r>
      <w:r>
        <w:rPr>
          <w:rFonts w:eastAsia="Calibri"/>
          <w:color w:val="FF0000"/>
          <w:sz w:val="24"/>
          <w:szCs w:val="24"/>
          <w:lang w:val="en-US" w:eastAsia="zh-CN"/>
        </w:rPr>
        <w:t>A. Buscarino, L. Fortuna, M. Frasca, S. Frisenna, Interaction between synchronization and motion in a system of mobile agents. Chaos 1 November 2016; 26 (11): 116302. DOI: 10.1063/1.4965033.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[16] </w:t>
      </w: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China, 2006, pp. 5570-5575. DOI: 10.1109/IROS.2006.282274.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[17] </w:t>
      </w:r>
      <w:r>
        <w:rPr>
          <w:rFonts w:eastAsia="Calibri"/>
          <w:sz w:val="24"/>
          <w:szCs w:val="24"/>
          <w:lang w:val="en-US" w:eastAsia="zh-CN"/>
        </w:rPr>
        <w:t>L. Dou, C. Song, X. Wang, et al. Target localization and enclosing control for networked mobile agents with bearing measurements, Automatica, vol. 118, 2020, 109022, ISSN 0005-1098. DOI: 10.1016/j.automatica.2020.109022.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[18] </w:t>
      </w:r>
      <w:r>
        <w:rPr>
          <w:rFonts w:eastAsia="Calibri"/>
          <w:sz w:val="24"/>
          <w:szCs w:val="24"/>
          <w:lang w:eastAsia="zh-CN"/>
        </w:rPr>
        <w:t xml:space="preserve">В. А. Левин, Г. В. Осипов, </w:t>
      </w:r>
      <w:r>
        <w:rPr>
          <w:rFonts w:eastAsia="Calibri"/>
          <w:sz w:val="24"/>
          <w:szCs w:val="24"/>
          <w:lang w:val="ru-RU" w:eastAsia="zh-CN"/>
        </w:rPr>
        <w:t>Управление</w:t>
      </w:r>
      <w:r>
        <w:rPr>
          <w:rFonts w:hint="default" w:eastAsia="Calibri"/>
          <w:sz w:val="24"/>
          <w:szCs w:val="24"/>
          <w:lang w:val="ru-RU" w:eastAsia="zh-CN"/>
        </w:rPr>
        <w:t xml:space="preserve"> движением группы мобильных роботов, </w:t>
      </w:r>
      <w:r>
        <w:rPr>
          <w:rFonts w:eastAsia="Calibri"/>
          <w:sz w:val="24"/>
          <w:szCs w:val="24"/>
          <w:lang w:eastAsia="zh-CN"/>
        </w:rPr>
        <w:t>Письма в ЖТФ, 42 (6), 42 (2016).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eastAsia="Calibri"/>
          <w:b/>
          <w:bCs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[19] S. Boccalettia,  J. Kurths, G. Osipov, The synchronization of chaotic systems, Physics reports 366, issues 1-2, 1-101, (2002).  DOI: 10.1016/S0370-1573(02)00137-0.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  <w:lang w:eastAsia="zh-CN"/>
        </w:rP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161"/>
        <w:gridCol w:w="31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85010" cy="1904365"/>
                  <wp:effectExtent l="0" t="0" r="11430" b="635"/>
                  <wp:docPr id="13" name="Изображение 13" descr="полная синхрониз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полная синхронизац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083" t="11061" r="8800" b="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32305" cy="1891030"/>
                  <wp:effectExtent l="0" t="0" r="3175" b="13970"/>
                  <wp:docPr id="12" name="Изображение 12" descr="частичная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частичная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570" t="11108" r="9066" b="5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48815" cy="1904365"/>
                  <wp:effectExtent l="0" t="0" r="1905" b="635"/>
                  <wp:docPr id="11" name="Изображение 11" descr="сетка пол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етка полная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912" t="11268" r="8927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Рис. 1.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Синхронизация ансамбля мобильных агентов. (а) - полная синхронизация при реализации последовательного движения. (б) - кластерная синхронизация роя при параллельном движении (в дальнейшем два кластера объединятся в один). (в) - придание рою структуры квадрата 5х5 элементов.</w:t>
      </w:r>
    </w:p>
    <w:p/>
    <w:p>
      <w:pPr>
        <w:pStyle w:val="12"/>
        <w:rPr>
          <w:rFonts w:eastAsia="SimHei"/>
        </w:rPr>
      </w:pPr>
      <w:r>
        <w:br w:type="page"/>
      </w:r>
      <w:bookmarkStart w:id="0" w:name="_GoBack"/>
      <w:bookmarkEnd w:id="0"/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160"/>
        <w:gridCol w:w="3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40560" cy="1860550"/>
                  <wp:effectExtent l="0" t="0" r="2540" b="6350"/>
                  <wp:docPr id="8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043" t="11294" r="8920" b="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893570" cy="1851025"/>
                  <wp:effectExtent l="0" t="0" r="11430" b="15875"/>
                  <wp:docPr id="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476" t="10963" r="8513" b="5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25320" cy="1865630"/>
                  <wp:effectExtent l="0" t="0" r="17780" b="1270"/>
                  <wp:docPr id="10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690" t="11230" r="8299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Рис. 2.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μ=0.2</m:t>
        </m:r>
      </m:oMath>
      <w:r>
        <w:rPr>
          <w:rFonts w:hAnsi="Cambria Math" w:cs="Times New Roman"/>
          <w:iCs/>
          <w:sz w:val="24"/>
          <w:szCs w:val="32"/>
        </w:rPr>
        <w:t>.</w:t>
      </w:r>
    </w:p>
    <w:p>
      <w:pPr>
        <w:spacing w:after="0" w:line="240" w:lineRule="auto"/>
      </w:pPr>
      <w:r>
        <w:br w:type="page"/>
      </w:r>
    </w:p>
    <w:p>
      <w:pPr>
        <w:pStyle w:val="10"/>
        <w:keepNext/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</w:t>
      </w:r>
      <w:r>
        <w:t xml:space="preserve"> Зависимость </w:t>
      </w:r>
      <w:r>
        <w:rPr>
          <w:rFonts w:ascii="Times New Roman" w:hAnsi="Times New Roman" w:cs="Times New Roman"/>
          <w:sz w:val="24"/>
          <w:szCs w:val="24"/>
        </w:rPr>
        <w:t>числа устойчивых кластеров от числа удалённых элементов из ансамбля, имеющего структуру квадрата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сохранившихся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Зависимость числа устойчивых кластеров 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сохранившихся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C3D9C67"/>
    <w:multiLevelType w:val="singleLevel"/>
    <w:tmpl w:val="EC3D9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43DA"/>
    <w:rsid w:val="000A5681"/>
    <w:rsid w:val="000A7A97"/>
    <w:rsid w:val="000B7E13"/>
    <w:rsid w:val="000C2BA1"/>
    <w:rsid w:val="00115C41"/>
    <w:rsid w:val="00126F77"/>
    <w:rsid w:val="001336E8"/>
    <w:rsid w:val="001621E2"/>
    <w:rsid w:val="00172866"/>
    <w:rsid w:val="00176031"/>
    <w:rsid w:val="001905E7"/>
    <w:rsid w:val="001A5B1F"/>
    <w:rsid w:val="001B790C"/>
    <w:rsid w:val="001B7A5E"/>
    <w:rsid w:val="001D11CD"/>
    <w:rsid w:val="001E6B0D"/>
    <w:rsid w:val="001F0749"/>
    <w:rsid w:val="001F513C"/>
    <w:rsid w:val="001F67BB"/>
    <w:rsid w:val="001F7E06"/>
    <w:rsid w:val="00207444"/>
    <w:rsid w:val="00211075"/>
    <w:rsid w:val="00213856"/>
    <w:rsid w:val="00247BD9"/>
    <w:rsid w:val="00267952"/>
    <w:rsid w:val="002954B7"/>
    <w:rsid w:val="002A06FB"/>
    <w:rsid w:val="002A09CF"/>
    <w:rsid w:val="002E2B0D"/>
    <w:rsid w:val="002F2CE0"/>
    <w:rsid w:val="002F5EAD"/>
    <w:rsid w:val="00301648"/>
    <w:rsid w:val="003146C2"/>
    <w:rsid w:val="003167F1"/>
    <w:rsid w:val="0035711E"/>
    <w:rsid w:val="003631E2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24F7F"/>
    <w:rsid w:val="00427EB8"/>
    <w:rsid w:val="00452C37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119D5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44EE"/>
    <w:rsid w:val="0081526C"/>
    <w:rsid w:val="008253ED"/>
    <w:rsid w:val="00827BF3"/>
    <w:rsid w:val="00841B70"/>
    <w:rsid w:val="00842893"/>
    <w:rsid w:val="00846CAC"/>
    <w:rsid w:val="00866E59"/>
    <w:rsid w:val="008747A0"/>
    <w:rsid w:val="00887F23"/>
    <w:rsid w:val="008A402A"/>
    <w:rsid w:val="008A7DC2"/>
    <w:rsid w:val="008B6A82"/>
    <w:rsid w:val="0090544B"/>
    <w:rsid w:val="00913C20"/>
    <w:rsid w:val="0091462E"/>
    <w:rsid w:val="00937E2B"/>
    <w:rsid w:val="009412E5"/>
    <w:rsid w:val="00951487"/>
    <w:rsid w:val="009A6E65"/>
    <w:rsid w:val="009B2AD7"/>
    <w:rsid w:val="009B3DB4"/>
    <w:rsid w:val="009C6D04"/>
    <w:rsid w:val="009D7977"/>
    <w:rsid w:val="009E7767"/>
    <w:rsid w:val="009F6507"/>
    <w:rsid w:val="00A276F3"/>
    <w:rsid w:val="00A53B11"/>
    <w:rsid w:val="00A610AE"/>
    <w:rsid w:val="00A86742"/>
    <w:rsid w:val="00A8769F"/>
    <w:rsid w:val="00A87B3C"/>
    <w:rsid w:val="00AA650F"/>
    <w:rsid w:val="00AD13E1"/>
    <w:rsid w:val="00AD4C08"/>
    <w:rsid w:val="00AD7A6A"/>
    <w:rsid w:val="00B04933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96327"/>
    <w:rsid w:val="00BB3903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11C72"/>
    <w:rsid w:val="00E25E88"/>
    <w:rsid w:val="00E60D66"/>
    <w:rsid w:val="00E65F2A"/>
    <w:rsid w:val="00E946B8"/>
    <w:rsid w:val="00EB3D8C"/>
    <w:rsid w:val="00EC6579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03160A3A"/>
    <w:rsid w:val="03AD6745"/>
    <w:rsid w:val="091364CE"/>
    <w:rsid w:val="10970CA8"/>
    <w:rsid w:val="13873863"/>
    <w:rsid w:val="16B258E2"/>
    <w:rsid w:val="1A482E21"/>
    <w:rsid w:val="1A9A3184"/>
    <w:rsid w:val="1CAA07AA"/>
    <w:rsid w:val="245F1650"/>
    <w:rsid w:val="29973A83"/>
    <w:rsid w:val="2A07061A"/>
    <w:rsid w:val="2ACF5473"/>
    <w:rsid w:val="2DA777AC"/>
    <w:rsid w:val="33F270F1"/>
    <w:rsid w:val="342B66DD"/>
    <w:rsid w:val="34A053E5"/>
    <w:rsid w:val="37B20BC9"/>
    <w:rsid w:val="3DAD4B25"/>
    <w:rsid w:val="3ED1477E"/>
    <w:rsid w:val="40447795"/>
    <w:rsid w:val="419E5DC6"/>
    <w:rsid w:val="4E5B3255"/>
    <w:rsid w:val="5071729A"/>
    <w:rsid w:val="512E5CD2"/>
    <w:rsid w:val="51A40414"/>
    <w:rsid w:val="52497945"/>
    <w:rsid w:val="555111B5"/>
    <w:rsid w:val="577E2838"/>
    <w:rsid w:val="59F42FBC"/>
    <w:rsid w:val="5E8C6E81"/>
    <w:rsid w:val="5EDD7DD4"/>
    <w:rsid w:val="5F2519EF"/>
    <w:rsid w:val="6014545F"/>
    <w:rsid w:val="65EF2C7E"/>
    <w:rsid w:val="68ED16B3"/>
    <w:rsid w:val="6A647F96"/>
    <w:rsid w:val="6ACB0606"/>
    <w:rsid w:val="6C3F1AD7"/>
    <w:rsid w:val="6D621B82"/>
    <w:rsid w:val="6D722AEE"/>
    <w:rsid w:val="6E4B3442"/>
    <w:rsid w:val="6F9B7B6A"/>
    <w:rsid w:val="70910E19"/>
    <w:rsid w:val="71D523D1"/>
    <w:rsid w:val="73AB3E08"/>
    <w:rsid w:val="74A01178"/>
    <w:rsid w:val="77B7298C"/>
    <w:rsid w:val="789D2770"/>
    <w:rsid w:val="7914420C"/>
    <w:rsid w:val="7D0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2440</Words>
  <Characters>13910</Characters>
  <Lines>115</Lines>
  <Paragraphs>32</Paragraphs>
  <TotalTime>0</TotalTime>
  <ScaleCrop>false</ScaleCrop>
  <LinksUpToDate>false</LinksUpToDate>
  <CharactersWithSpaces>16318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2023-11-22T04:55:00Z</dcterms:created>
  <dc:creator>Левин Вадим Александрович</dc:creator>
  <cp:lastModifiedBy>Eugene Varvarin</cp:lastModifiedBy>
  <dcterms:modified xsi:type="dcterms:W3CDTF">2023-11-23T13:08:25Z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88B105F5142B4682A8AA49E40C61018F_13</vt:lpwstr>
  </property>
</Properties>
</file>