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ascii="Arial" w:hAnsi="Arial"/>
          <w:caps/>
        </w:rPr>
      </w:pPr>
      <w:r>
        <w:rPr>
          <w:rFonts w:ascii="Arial" w:hAnsi="Arial"/>
          <w:lang w:val="ru-RU"/>
        </w:rPr>
        <w:t>У</w:t>
      </w:r>
      <w:r>
        <w:rPr>
          <w:rFonts w:ascii="Arial" w:hAnsi="Arial"/>
          <w:caps/>
          <w:lang w:val="ru-RU"/>
        </w:rPr>
        <w:t>правление</w:t>
      </w:r>
      <w:r>
        <w:rPr>
          <w:rFonts w:hint="default" w:ascii="Arial" w:hAnsi="Arial"/>
          <w:caps/>
          <w:lang w:val="ru-RU"/>
        </w:rPr>
        <w:t xml:space="preserve"> движением ансамблей мобильных агентов в трёхмерном пространстве</w:t>
      </w:r>
    </w:p>
    <w:p>
      <w:pPr>
        <w:pStyle w:val="17"/>
        <w:rPr>
          <w:b/>
        </w:rPr>
      </w:pPr>
      <w:r>
        <w:rPr>
          <w:b/>
          <w:u w:val="single"/>
        </w:rPr>
        <w:t>Е.М. Варварин</w:t>
      </w:r>
      <w:r>
        <w:rPr>
          <w:b/>
          <w:u w:val="single"/>
          <w:vertAlign w:val="superscript"/>
        </w:rPr>
        <w:t>1</w:t>
      </w:r>
      <w:r>
        <w:rPr>
          <w:b/>
        </w:rPr>
        <w:t>, Г.В. Осипов</w:t>
      </w:r>
      <w:r>
        <w:rPr>
          <w:b/>
          <w:vertAlign w:val="superscript"/>
        </w:rPr>
        <w:t>1</w:t>
      </w:r>
    </w:p>
    <w:p>
      <w:pPr>
        <w:pStyle w:val="17"/>
      </w:pPr>
      <w:r>
        <w:rPr>
          <w:vertAlign w:val="superscript"/>
        </w:rPr>
        <w:t>1)</w:t>
      </w:r>
      <w:r>
        <w:t xml:space="preserve"> ННГУ им. Н.И. Лобачевского</w:t>
      </w:r>
    </w:p>
    <w:p>
      <w:pPr>
        <w:spacing w:after="160" w:line="360" w:lineRule="auto"/>
        <w:ind w:firstLine="284"/>
        <w:jc w:val="both"/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ru-RU" w:eastAsia="ru-RU"/>
        </w:rPr>
        <w:t>В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  <w:t xml:space="preserve"> данной статье рассматривается глобальная синхронизация ансамбля мобильных агентов в трёхмерном пространстве с изменяющейся топологией связей. Осуществляется моделирование управления движением синхронизованного ансамбля элементов, синхронизация агентов в двумерные структуры и моделирование надёжности полученных структур.</w:t>
      </w:r>
    </w:p>
    <w:p>
      <w:pPr>
        <w:spacing w:line="360" w:lineRule="auto"/>
        <w:ind w:firstLine="284"/>
        <w:jc w:val="both"/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  <w:t xml:space="preserve">Использование ансамбля мобильных агентов для изучения и анализа коллективной динамики в последние годы широко применяется в различных областях науки и техники [3, 4, 12, 14]. Главным объектом большинства исследований в области коллективной динамики является синхронизация [5, 15], которая, в свою очередь, </w:t>
      </w:r>
      <w:r>
        <w:rPr>
          <w:rFonts w:hint="default" w:ascii="Times New Roman" w:hAnsi="Times New Roman" w:eastAsia="Calibri" w:cs="Times New Roman"/>
          <w:sz w:val="24"/>
          <w:szCs w:val="24"/>
          <w:lang w:val="ru-RU" w:eastAsia="ru-RU"/>
        </w:rPr>
        <w:t>сильно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  <w:t xml:space="preserve"> зависит от топологии связей ансамбля [7, 8]. Довольно популя</w:t>
      </w:r>
      <w:bookmarkStart w:id="0" w:name="_GoBack"/>
      <w:bookmarkEnd w:id="0"/>
      <w:r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  <w:t xml:space="preserve">рной у исследователей является топология связи “каждый с каждым” [1, 2], однако в реальном мире топология большинства структур не является постоянной, связи между элементами могут появляться и исчезать, усиливаться или ослабевать [13]. Системы, в которых помимо силы связи может изменяться и положение узлов, удобно рассматривать как ансамбль мобильных агентов [6, 9, 10 , 11]. </w:t>
      </w:r>
      <w:r>
        <w:rPr>
          <w:rFonts w:hint="default" w:ascii="Times New Roman" w:hAnsi="Times New Roman" w:eastAsia="Calibri" w:cs="Times New Roman"/>
          <w:sz w:val="24"/>
          <w:szCs w:val="24"/>
          <w:lang w:val="ru-RU" w:eastAsia="ru-RU"/>
        </w:rPr>
        <w:t>Таким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  <w:t xml:space="preserve"> образом удалось рассмотреть: </w:t>
      </w:r>
      <w:r>
        <w:rPr>
          <w:rFonts w:hint="default" w:ascii="Times New Roman" w:hAnsi="Times New Roman" w:eastAsia="Calibri" w:cs="Times New Roman"/>
          <w:sz w:val="24"/>
          <w:szCs w:val="24"/>
          <w:lang w:val="ru-RU" w:eastAsia="ru-RU"/>
        </w:rPr>
        <w:t>синхронизацию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  <w:t xml:space="preserve"> мобильных роботов [16], </w:t>
      </w:r>
      <w:r>
        <w:rPr>
          <w:rFonts w:hint="default" w:ascii="Times New Roman" w:hAnsi="Times New Roman" w:eastAsia="Calibri" w:cs="Times New Roman"/>
          <w:sz w:val="24"/>
          <w:szCs w:val="24"/>
          <w:lang w:val="ru-RU" w:eastAsia="ru-RU"/>
        </w:rPr>
        <w:t>локализацию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ru-RU"/>
        </w:rPr>
        <w:t xml:space="preserve"> объектов распределённой следящей системой [17] и другие работы.</w:t>
      </w:r>
    </w:p>
    <w:p>
      <w:pPr>
        <w:spacing w:line="360" w:lineRule="auto"/>
        <w:ind w:firstLine="284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Под мобильным агентом будем понимать материальную точку, движущуюся в плоскости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QUOTE </w:instrText>
      </w:r>
      <w:r>
        <w:rPr>
          <w:rFonts w:hint="default" w:ascii="Times New Roman" w:hAnsi="Times New Roman" w:cs="Times New Roman"/>
          <w:position w:val="-9"/>
          <w:sz w:val="24"/>
          <w:szCs w:val="24"/>
        </w:rPr>
        <w:pict>
          <v:shape id="_x0000_i1025" o:spt="75" type="#_x0000_t75" style="height:15pt;width:28.2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activeWritingStyle w:lang=&quot;RU&quot; w:vendorID=&quot;64&quot; w:dllVersion=&quot;131078&quot; w:nlCheck=&quot;on&quot; w:optionSet=&quot;0&quot;/&gt;&lt;w:activeWritingStyle w:lang=&quot;EN-US&quot; w:vendorID=&quot;64&quot; w:dllVersion=&quot;131078&quot; w:nlCheck=&quot;on&quot; w:optionSet=&quot;1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27BF3&quot;/&gt;&lt;wsp:rsid wsp:val=&quot;00015723&quot;/&gt;&lt;wsp:rsid wsp:val=&quot;000171CA&quot;/&gt;&lt;wsp:rsid wsp:val=&quot;000200B4&quot;/&gt;&lt;wsp:rsid wsp:val=&quot;00030F4A&quot;/&gt;&lt;wsp:rsid wsp:val=&quot;00037F1E&quot;/&gt;&lt;wsp:rsid wsp:val=&quot;0004594F&quot;/&gt;&lt;wsp:rsid wsp:val=&quot;00071B36&quot;/&gt;&lt;wsp:rsid wsp:val=&quot;000A5681&quot;/&gt;&lt;wsp:rsid wsp:val=&quot;000A7A97&quot;/&gt;&lt;wsp:rsid wsp:val=&quot;000B7E13&quot;/&gt;&lt;wsp:rsid wsp:val=&quot;000C2BA1&quot;/&gt;&lt;wsp:rsid wsp:val=&quot;001336E8&quot;/&gt;&lt;wsp:rsid wsp:val=&quot;00172866&quot;/&gt;&lt;wsp:rsid wsp:val=&quot;001905E7&quot;/&gt;&lt;wsp:rsid wsp:val=&quot;001A5B1F&quot;/&gt;&lt;wsp:rsid wsp:val=&quot;001B790C&quot;/&gt;&lt;wsp:rsid wsp:val=&quot;001B7A5E&quot;/&gt;&lt;wsp:rsid wsp:val=&quot;001D11CD&quot;/&gt;&lt;wsp:rsid wsp:val=&quot;001F0749&quot;/&gt;&lt;wsp:rsid wsp:val=&quot;001F513C&quot;/&gt;&lt;wsp:rsid wsp:val=&quot;001F7E06&quot;/&gt;&lt;wsp:rsid wsp:val=&quot;00207444&quot;/&gt;&lt;wsp:rsid wsp:val=&quot;00211075&quot;/&gt;&lt;wsp:rsid wsp:val=&quot;00213856&quot;/&gt;&lt;wsp:rsid wsp:val=&quot;00247BD9&quot;/&gt;&lt;wsp:rsid wsp:val=&quot;002954B7&quot;/&gt;&lt;wsp:rsid wsp:val=&quot;002A09CF&quot;/&gt;&lt;wsp:rsid wsp:val=&quot;002E2B0D&quot;/&gt;&lt;wsp:rsid wsp:val=&quot;002F2CE0&quot;/&gt;&lt;wsp:rsid wsp:val=&quot;002F5EAD&quot;/&gt;&lt;wsp:rsid wsp:val=&quot;00301648&quot;/&gt;&lt;wsp:rsid wsp:val=&quot;003146C2&quot;/&gt;&lt;wsp:rsid wsp:val=&quot;00363373&quot;/&gt;&lt;wsp:rsid wsp:val=&quot;003736F3&quot;/&gt;&lt;wsp:rsid wsp:val=&quot;003B3CDD&quot;/&gt;&lt;wsp:rsid wsp:val=&quot;003B65D7&quot;/&gt;&lt;wsp:rsid wsp:val=&quot;003E151B&quot;/&gt;&lt;wsp:rsid wsp:val=&quot;003E6C0A&quot;/&gt;&lt;wsp:rsid wsp:val=&quot;003F5705&quot;/&gt;&lt;wsp:rsid wsp:val=&quot;00403803&quot;/&gt;&lt;wsp:rsid wsp:val=&quot;004672D7&quot;/&gt;&lt;wsp:rsid wsp:val=&quot;00474C25&quot;/&gt;&lt;wsp:rsid wsp:val=&quot;00516030&quot;/&gt;&lt;wsp:rsid wsp:val=&quot;00585D50&quot;/&gt;&lt;wsp:rsid wsp:val=&quot;00586040&quot;/&gt;&lt;wsp:rsid wsp:val=&quot;005B501B&quot;/&gt;&lt;wsp:rsid wsp:val=&quot;005B5EC9&quot;/&gt;&lt;wsp:rsid wsp:val=&quot;005B6B30&quot;/&gt;&lt;wsp:rsid wsp:val=&quot;005C11B6&quot;/&gt;&lt;wsp:rsid wsp:val=&quot;005F5437&quot;/&gt;&lt;wsp:rsid wsp:val=&quot;006602BE&quot;/&gt;&lt;wsp:rsid wsp:val=&quot;006D2CC4&quot;/&gt;&lt;wsp:rsid wsp:val=&quot;006F693A&quot;/&gt;&lt;wsp:rsid wsp:val=&quot;00705360&quot;/&gt;&lt;wsp:rsid wsp:val=&quot;0071110A&quot;/&gt;&lt;wsp:rsid wsp:val=&quot;00721192&quot;/&gt;&lt;wsp:rsid wsp:val=&quot;00736274&quot;/&gt;&lt;wsp:rsid wsp:val=&quot;00737C7D&quot;/&gt;&lt;wsp:rsid wsp:val=&quot;00737DB4&quot;/&gt;&lt;wsp:rsid wsp:val=&quot;00776A51&quot;/&gt;&lt;wsp:rsid wsp:val=&quot;007A2ED5&quot;/&gt;&lt;wsp:rsid wsp:val=&quot;007A65CC&quot;/&gt;&lt;wsp:rsid wsp:val=&quot;007D2799&quot;/&gt;&lt;wsp:rsid wsp:val=&quot;007E7C65&quot;/&gt;&lt;wsp:rsid wsp:val=&quot;00827BF3&quot;/&gt;&lt;wsp:rsid wsp:val=&quot;00841B70&quot;/&gt;&lt;wsp:rsid wsp:val=&quot;00846CAC&quot;/&gt;&lt;wsp:rsid wsp:val=&quot;00866E59&quot;/&gt;&lt;wsp:rsid wsp:val=&quot;008747A0&quot;/&gt;&lt;wsp:rsid wsp:val=&quot;00887F23&quot;/&gt;&lt;wsp:rsid wsp:val=&quot;008A7DC2&quot;/&gt;&lt;wsp:rsid wsp:val=&quot;0090544B&quot;/&gt;&lt;wsp:rsid wsp:val=&quot;00913C20&quot;/&gt;&lt;wsp:rsid wsp:val=&quot;0091462E&quot;/&gt;&lt;wsp:rsid wsp:val=&quot;00937E2B&quot;/&gt;&lt;wsp:rsid wsp:val=&quot;009412E5&quot;/&gt;&lt;wsp:rsid wsp:val=&quot;009A6E65&quot;/&gt;&lt;wsp:rsid wsp:val=&quot;009B2AD7&quot;/&gt;&lt;wsp:rsid wsp:val=&quot;009B3DB4&quot;/&gt;&lt;wsp:rsid wsp:val=&quot;009C6D04&quot;/&gt;&lt;wsp:rsid wsp:val=&quot;009E7767&quot;/&gt;&lt;wsp:rsid wsp:val=&quot;009F6507&quot;/&gt;&lt;wsp:rsid wsp:val=&quot;00A276F3&quot;/&gt;&lt;wsp:rsid wsp:val=&quot;00A53B11&quot;/&gt;&lt;wsp:rsid wsp:val=&quot;00A610AE&quot;/&gt;&lt;wsp:rsid wsp:val=&quot;00A8769F&quot;/&gt;&lt;wsp:rsid wsp:val=&quot;00A87B3C&quot;/&gt;&lt;wsp:rsid wsp:val=&quot;00AA650F&quot;/&gt;&lt;wsp:rsid wsp:val=&quot;00AD13E1&quot;/&gt;&lt;wsp:rsid wsp:val=&quot;00AD4C08&quot;/&gt;&lt;wsp:rsid wsp:val=&quot;00AD7A6A&quot;/&gt;&lt;wsp:rsid wsp:val=&quot;00AF509E&quot;/&gt;&lt;wsp:rsid wsp:val=&quot;00B07EF6&quot;/&gt;&lt;wsp:rsid wsp:val=&quot;00B11906&quot;/&gt;&lt;wsp:rsid wsp:val=&quot;00B12D96&quot;/&gt;&lt;wsp:rsid wsp:val=&quot;00B32B5C&quot;/&gt;&lt;wsp:rsid wsp:val=&quot;00B37A94&quot;/&gt;&lt;wsp:rsid wsp:val=&quot;00B37B66&quot;/&gt;&lt;wsp:rsid wsp:val=&quot;00B46D8D&quot;/&gt;&lt;wsp:rsid wsp:val=&quot;00B50ED3&quot;/&gt;&lt;wsp:rsid wsp:val=&quot;00B546AB&quot;/&gt;&lt;wsp:rsid wsp:val=&quot;00B80452&quot;/&gt;&lt;wsp:rsid wsp:val=&quot;00B84CD9&quot;/&gt;&lt;wsp:rsid wsp:val=&quot;00B93A29&quot;/&gt;&lt;wsp:rsid wsp:val=&quot;00BE4F0F&quot;/&gt;&lt;wsp:rsid wsp:val=&quot;00BE5ED1&quot;/&gt;&lt;wsp:rsid wsp:val=&quot;00C120F0&quot;/&gt;&lt;wsp:rsid wsp:val=&quot;00C15520&quot;/&gt;&lt;wsp:rsid wsp:val=&quot;00C21D78&quot;/&gt;&lt;wsp:rsid wsp:val=&quot;00C27C3F&quot;/&gt;&lt;wsp:rsid wsp:val=&quot;00C5756A&quot;/&gt;&lt;wsp:rsid wsp:val=&quot;00C768E1&quot;/&gt;&lt;wsp:rsid wsp:val=&quot;00C775F2&quot;/&gt;&lt;wsp:rsid wsp:val=&quot;00C82711&quot;/&gt;&lt;wsp:rsid wsp:val=&quot;00C8414E&quot;/&gt;&lt;wsp:rsid wsp:val=&quot;00CE0393&quot;/&gt;&lt;wsp:rsid wsp:val=&quot;00CE1C40&quot;/&gt;&lt;wsp:rsid wsp:val=&quot;00CF3624&quot;/&gt;&lt;wsp:rsid wsp:val=&quot;00D11790&quot;/&gt;&lt;wsp:rsid wsp:val=&quot;00D31B9C&quot;/&gt;&lt;wsp:rsid wsp:val=&quot;00D3612B&quot;/&gt;&lt;wsp:rsid wsp:val=&quot;00D4167D&quot;/&gt;&lt;wsp:rsid wsp:val=&quot;00D4270E&quot;/&gt;&lt;wsp:rsid wsp:val=&quot;00D46496&quot;/&gt;&lt;wsp:rsid wsp:val=&quot;00D61B81&quot;/&gt;&lt;wsp:rsid wsp:val=&quot;00DB554A&quot;/&gt;&lt;wsp:rsid wsp:val=&quot;00DD40F5&quot;/&gt;&lt;wsp:rsid wsp:val=&quot;00E066CA&quot;/&gt;&lt;wsp:rsid wsp:val=&quot;00E25E88&quot;/&gt;&lt;wsp:rsid wsp:val=&quot;00E60D66&quot;/&gt;&lt;wsp:rsid wsp:val=&quot;00EB3D8C&quot;/&gt;&lt;wsp:rsid wsp:val=&quot;00ED3C33&quot;/&gt;&lt;wsp:rsid wsp:val=&quot;00EF0E75&quot;/&gt;&lt;wsp:rsid wsp:val=&quot;00F03F69&quot;/&gt;&lt;wsp:rsid wsp:val=&quot;00F1681E&quot;/&gt;&lt;wsp:rsid wsp:val=&quot;00F22852&quot;/&gt;&lt;wsp:rsid wsp:val=&quot;00F357E3&quot;/&gt;&lt;wsp:rsid wsp:val=&quot;00F85FA2&quot;/&gt;&lt;wsp:rsid wsp:val=&quot;00F951FD&quot;/&gt;&lt;wsp:rsid wsp:val=&quot;00FD3E57&quot;/&gt;&lt;wsp:rsid wsp:val=&quot;00FE4537&quot;/&gt;&lt;/wsp:rsids&gt;&lt;/w:docPr&gt;&lt;w:body&gt;&lt;w:p wsp:rsidR=&quot;00000000&quot; wsp:rsidRDefault=&quot;00AF509E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(&lt;/m:t&gt;&lt;/m:r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, &lt;/m:t&gt;&lt;/m:r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таким образом, что её траектория совпадает с координатами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QUOTE </w:instrText>
      </w:r>
      <w:r>
        <w:rPr>
          <w:rFonts w:hint="default" w:ascii="Times New Roman" w:hAnsi="Times New Roman" w:cs="Times New Roman"/>
          <w:position w:val="-9"/>
          <w:sz w:val="24"/>
          <w:szCs w:val="24"/>
        </w:rPr>
        <w:pict>
          <v:shape id="_x0000_i1027" o:spt="75" type="#_x0000_t75" style="height:15pt;width:28.2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activeWritingStyle w:lang=&quot;RU&quot; w:vendorID=&quot;64&quot; w:dllVersion=&quot;131078&quot; w:nlCheck=&quot;on&quot; w:optionSet=&quot;0&quot;/&gt;&lt;w:activeWritingStyle w:lang=&quot;EN-US&quot; w:vendorID=&quot;64&quot; w:dllVersion=&quot;131078&quot; w:nlCheck=&quot;on&quot; w:optionSet=&quot;1&quot;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27BF3&quot;/&gt;&lt;wsp:rsid wsp:val=&quot;00015723&quot;/&gt;&lt;wsp:rsid wsp:val=&quot;000171CA&quot;/&gt;&lt;wsp:rsid wsp:val=&quot;000200B4&quot;/&gt;&lt;wsp:rsid wsp:val=&quot;00030F4A&quot;/&gt;&lt;wsp:rsid wsp:val=&quot;00037F1E&quot;/&gt;&lt;wsp:rsid wsp:val=&quot;0004594F&quot;/&gt;&lt;wsp:rsid wsp:val=&quot;00071B36&quot;/&gt;&lt;wsp:rsid wsp:val=&quot;000A5681&quot;/&gt;&lt;wsp:rsid wsp:val=&quot;000A7A97&quot;/&gt;&lt;wsp:rsid wsp:val=&quot;000B7E13&quot;/&gt;&lt;wsp:rsid wsp:val=&quot;000C2BA1&quot;/&gt;&lt;wsp:rsid wsp:val=&quot;001336E8&quot;/&gt;&lt;wsp:rsid wsp:val=&quot;00172866&quot;/&gt;&lt;wsp:rsid wsp:val=&quot;001905E7&quot;/&gt;&lt;wsp:rsid wsp:val=&quot;001A5B1F&quot;/&gt;&lt;wsp:rsid wsp:val=&quot;001B790C&quot;/&gt;&lt;wsp:rsid wsp:val=&quot;001B7A5E&quot;/&gt;&lt;wsp:rsid wsp:val=&quot;001D11CD&quot;/&gt;&lt;wsp:rsid wsp:val=&quot;001F0749&quot;/&gt;&lt;wsp:rsid wsp:val=&quot;001F513C&quot;/&gt;&lt;wsp:rsid wsp:val=&quot;001F7E06&quot;/&gt;&lt;wsp:rsid wsp:val=&quot;00207444&quot;/&gt;&lt;wsp:rsid wsp:val=&quot;00211075&quot;/&gt;&lt;wsp:rsid wsp:val=&quot;00213856&quot;/&gt;&lt;wsp:rsid wsp:val=&quot;00247BD9&quot;/&gt;&lt;wsp:rsid wsp:val=&quot;002954B7&quot;/&gt;&lt;wsp:rsid wsp:val=&quot;002A09CF&quot;/&gt;&lt;wsp:rsid wsp:val=&quot;002E2B0D&quot;/&gt;&lt;wsp:rsid wsp:val=&quot;002F2CE0&quot;/&gt;&lt;wsp:rsid wsp:val=&quot;002F5EAD&quot;/&gt;&lt;wsp:rsid wsp:val=&quot;00301648&quot;/&gt;&lt;wsp:rsid wsp:val=&quot;003146C2&quot;/&gt;&lt;wsp:rsid wsp:val=&quot;00363373&quot;/&gt;&lt;wsp:rsid wsp:val=&quot;003736F3&quot;/&gt;&lt;wsp:rsid wsp:val=&quot;003B3CDD&quot;/&gt;&lt;wsp:rsid wsp:val=&quot;003B65D7&quot;/&gt;&lt;wsp:rsid wsp:val=&quot;003E151B&quot;/&gt;&lt;wsp:rsid wsp:val=&quot;003E6C0A&quot;/&gt;&lt;wsp:rsid wsp:val=&quot;003F5705&quot;/&gt;&lt;wsp:rsid wsp:val=&quot;00403803&quot;/&gt;&lt;wsp:rsid wsp:val=&quot;004672D7&quot;/&gt;&lt;wsp:rsid wsp:val=&quot;00474C25&quot;/&gt;&lt;wsp:rsid wsp:val=&quot;00516030&quot;/&gt;&lt;wsp:rsid wsp:val=&quot;00585D50&quot;/&gt;&lt;wsp:rsid wsp:val=&quot;00586040&quot;/&gt;&lt;wsp:rsid wsp:val=&quot;005B501B&quot;/&gt;&lt;wsp:rsid wsp:val=&quot;005B5EC9&quot;/&gt;&lt;wsp:rsid wsp:val=&quot;005B6B30&quot;/&gt;&lt;wsp:rsid wsp:val=&quot;005C11B6&quot;/&gt;&lt;wsp:rsid wsp:val=&quot;005F5437&quot;/&gt;&lt;wsp:rsid wsp:val=&quot;006602BE&quot;/&gt;&lt;wsp:rsid wsp:val=&quot;006D2CC4&quot;/&gt;&lt;wsp:rsid wsp:val=&quot;006F693A&quot;/&gt;&lt;wsp:rsid wsp:val=&quot;00705360&quot;/&gt;&lt;wsp:rsid wsp:val=&quot;0071110A&quot;/&gt;&lt;wsp:rsid wsp:val=&quot;00721192&quot;/&gt;&lt;wsp:rsid wsp:val=&quot;00736274&quot;/&gt;&lt;wsp:rsid wsp:val=&quot;00737C7D&quot;/&gt;&lt;wsp:rsid wsp:val=&quot;00737DB4&quot;/&gt;&lt;wsp:rsid wsp:val=&quot;00776A51&quot;/&gt;&lt;wsp:rsid wsp:val=&quot;007A2ED5&quot;/&gt;&lt;wsp:rsid wsp:val=&quot;007A65CC&quot;/&gt;&lt;wsp:rsid wsp:val=&quot;007D2799&quot;/&gt;&lt;wsp:rsid wsp:val=&quot;007E7C65&quot;/&gt;&lt;wsp:rsid wsp:val=&quot;00827BF3&quot;/&gt;&lt;wsp:rsid wsp:val=&quot;00841B70&quot;/&gt;&lt;wsp:rsid wsp:val=&quot;00846CAC&quot;/&gt;&lt;wsp:rsid wsp:val=&quot;00866E59&quot;/&gt;&lt;wsp:rsid wsp:val=&quot;008747A0&quot;/&gt;&lt;wsp:rsid wsp:val=&quot;00887F23&quot;/&gt;&lt;wsp:rsid wsp:val=&quot;008A7DC2&quot;/&gt;&lt;wsp:rsid wsp:val=&quot;0090544B&quot;/&gt;&lt;wsp:rsid wsp:val=&quot;00913C20&quot;/&gt;&lt;wsp:rsid wsp:val=&quot;0091462E&quot;/&gt;&lt;wsp:rsid wsp:val=&quot;00937E2B&quot;/&gt;&lt;wsp:rsid wsp:val=&quot;009412E5&quot;/&gt;&lt;wsp:rsid wsp:val=&quot;009A6E65&quot;/&gt;&lt;wsp:rsid wsp:val=&quot;009B2AD7&quot;/&gt;&lt;wsp:rsid wsp:val=&quot;009B3DB4&quot;/&gt;&lt;wsp:rsid wsp:val=&quot;009C6D04&quot;/&gt;&lt;wsp:rsid wsp:val=&quot;009E7767&quot;/&gt;&lt;wsp:rsid wsp:val=&quot;009F6507&quot;/&gt;&lt;wsp:rsid wsp:val=&quot;00A276F3&quot;/&gt;&lt;wsp:rsid wsp:val=&quot;00A53B11&quot;/&gt;&lt;wsp:rsid wsp:val=&quot;00A610AE&quot;/&gt;&lt;wsp:rsid wsp:val=&quot;00A8769F&quot;/&gt;&lt;wsp:rsid wsp:val=&quot;00A87B3C&quot;/&gt;&lt;wsp:rsid wsp:val=&quot;00AA650F&quot;/&gt;&lt;wsp:rsid wsp:val=&quot;00AD13E1&quot;/&gt;&lt;wsp:rsid wsp:val=&quot;00AD4C08&quot;/&gt;&lt;wsp:rsid wsp:val=&quot;00AD7A6A&quot;/&gt;&lt;wsp:rsid wsp:val=&quot;00B07EF6&quot;/&gt;&lt;wsp:rsid wsp:val=&quot;00B11906&quot;/&gt;&lt;wsp:rsid wsp:val=&quot;00B12D96&quot;/&gt;&lt;wsp:rsid wsp:val=&quot;00B32B5C&quot;/&gt;&lt;wsp:rsid wsp:val=&quot;00B37A94&quot;/&gt;&lt;wsp:rsid wsp:val=&quot;00B37B66&quot;/&gt;&lt;wsp:rsid wsp:val=&quot;00B46D8D&quot;/&gt;&lt;wsp:rsid wsp:val=&quot;00B50ED3&quot;/&gt;&lt;wsp:rsid wsp:val=&quot;00B546AB&quot;/&gt;&lt;wsp:rsid wsp:val=&quot;00B80452&quot;/&gt;&lt;wsp:rsid wsp:val=&quot;00B84CD9&quot;/&gt;&lt;wsp:rsid wsp:val=&quot;00B93A29&quot;/&gt;&lt;wsp:rsid wsp:val=&quot;00BE4F0F&quot;/&gt;&lt;wsp:rsid wsp:val=&quot;00BE5ED1&quot;/&gt;&lt;wsp:rsid wsp:val=&quot;00C120F0&quot;/&gt;&lt;wsp:rsid wsp:val=&quot;00C15520&quot;/&gt;&lt;wsp:rsid wsp:val=&quot;00C21D78&quot;/&gt;&lt;wsp:rsid wsp:val=&quot;00C27C3F&quot;/&gt;&lt;wsp:rsid wsp:val=&quot;00C5756A&quot;/&gt;&lt;wsp:rsid wsp:val=&quot;00C768E1&quot;/&gt;&lt;wsp:rsid wsp:val=&quot;00C775F2&quot;/&gt;&lt;wsp:rsid wsp:val=&quot;00C82711&quot;/&gt;&lt;wsp:rsid wsp:val=&quot;00C8414E&quot;/&gt;&lt;wsp:rsid wsp:val=&quot;00CE0393&quot;/&gt;&lt;wsp:rsid wsp:val=&quot;00CE1C40&quot;/&gt;&lt;wsp:rsid wsp:val=&quot;00CF3624&quot;/&gt;&lt;wsp:rsid wsp:val=&quot;00D11790&quot;/&gt;&lt;wsp:rsid wsp:val=&quot;00D31B9C&quot;/&gt;&lt;wsp:rsid wsp:val=&quot;00D3612B&quot;/&gt;&lt;wsp:rsid wsp:val=&quot;00D4167D&quot;/&gt;&lt;wsp:rsid wsp:val=&quot;00D4270E&quot;/&gt;&lt;wsp:rsid wsp:val=&quot;00D46496&quot;/&gt;&lt;wsp:rsid wsp:val=&quot;00D61B81&quot;/&gt;&lt;wsp:rsid wsp:val=&quot;00DB554A&quot;/&gt;&lt;wsp:rsid wsp:val=&quot;00DD40F5&quot;/&gt;&lt;wsp:rsid wsp:val=&quot;00E066CA&quot;/&gt;&lt;wsp:rsid wsp:val=&quot;00E25E88&quot;/&gt;&lt;wsp:rsid wsp:val=&quot;00E60D66&quot;/&gt;&lt;wsp:rsid wsp:val=&quot;00EB3D8C&quot;/&gt;&lt;wsp:rsid wsp:val=&quot;00ED3C33&quot;/&gt;&lt;wsp:rsid wsp:val=&quot;00EF0E75&quot;/&gt;&lt;wsp:rsid wsp:val=&quot;00F03F69&quot;/&gt;&lt;wsp:rsid wsp:val=&quot;00F1681E&quot;/&gt;&lt;wsp:rsid wsp:val=&quot;00F22852&quot;/&gt;&lt;wsp:rsid wsp:val=&quot;00F357E3&quot;/&gt;&lt;wsp:rsid wsp:val=&quot;00F746F7&quot;/&gt;&lt;wsp:rsid wsp:val=&quot;00F85FA2&quot;/&gt;&lt;wsp:rsid wsp:val=&quot;00F951FD&quot;/&gt;&lt;wsp:rsid wsp:val=&quot;00FD3E57&quot;/&gt;&lt;wsp:rsid wsp:val=&quot;00FE4537&quot;/&gt;&lt;/wsp:rsids&gt;&lt;/w:docPr&gt;&lt;w:body&gt;&lt;w:p wsp:rsidR=&quot;00000000&quot; wsp:rsidRDefault=&quot;00F746F7&quot;&gt;&lt;m:oMathPara&gt;&lt;m:oMath&gt;&lt;m:r&gt;&lt;w:rPr&gt;&lt;w:rFonts w:ascii=&quot;Cambria Math&quot; w:h-ansi=&quot;Cambria Math&quot;/&gt;&lt;wx:font wx:val=&quot;Cambria Math&quot;/&gt;&lt;w:i/&gt;&lt;w:sz w:val=&quot;24&quot;/&gt;&lt;w:sz-cs w:val=&quot;24&quot;/&gt;&lt;/w:rPr&gt;&lt;m:t&gt;(&lt;/m:t&gt;&lt;/m:r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, &lt;/m:t&gt;&lt;/m:r&gt;&lt;m:r&gt;&lt;w:rPr&gt;&lt;w:rFonts w:ascii=&quot;Cambria Math&quot; w:h-ansi=&quot;Cambria Math&quot;/&gt;&lt;wx:font wx:val=&quot;Cambria Math&quot;/&gt;&lt;w:i/&gt;&lt;w:sz w:val=&quot;24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4&quot;/&gt;&lt;w:sz-cs w:val=&quot;24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7" chromakey="#FFFFFF" o:title="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cs="Times New Roman"/>
          <w:sz w:val="24"/>
          <w:szCs w:val="24"/>
        </w:rPr>
        <w:instrText xml:space="preserve">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 xml:space="preserve"> соответствующего хаотического осциллятора. В данной работе, в качестве хаотического осциллятора, не теряя общности, будем рассматривать осциллятор Рёсслера (1).</w:t>
      </w:r>
    </w:p>
    <w:p>
      <w:pPr>
        <w:spacing w:line="360" w:lineRule="auto"/>
        <w:ind w:firstLine="284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br w:type="page"/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Xiang Ling, Wen-Bin Ju, Ning Guo, Chao-Yun Wu, Xiao-Ming Xu, Explosive synchronization in network of mobile oscillators, Physics Letters A, Volume 384, Issue 35, 2020, 126881, ISSN 0375-9601.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>Freitas, V.L.S., Yanchuk, S., Grande, H.L.C. et al. The effects of time-delay and phase lags on symmetric circular formations of mobile agents. Eur. Phys. J. Spec. Top. 230, 2857–2864 (2021).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Vander L.S. Freitas, Serhiy Yanchuk, Michael Zaks, Elbert E.N. Macau,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Synchronization-based symmetric circular formations of mobile agents and the generation of chaotic trajectories,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Communications in Nonlinear Science and Numerical Simulation,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Volume 94,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2021,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105543,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ISSN 1007-5704.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>A. Barciś and C. Bettstetter, "Sandsbots: Robots That Sync and Swarm," in IEEE Access, vol. 8, pp. 218752-218764, 2020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Tongfeng Weng, Xiaolu Chen, Zhuoming Ren, Jin Xu, Huijie Yang, Multiple moving agents on complex networks: From intermittent synchronization to complete synchronization, Physica A: Statistical Mechanics and its Applications, Volume 614, 2023, 128562, ISSN 0378-4371.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Soumen Majhi, Dibakar Ghosh, and Jürgen Kurths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Emergence of synchronization in multiplex networks of mobile Rössler oscillators  Phys. Rev. E 99, vol. 99, 4 January 2019, 012308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Chen, L., Yang, Q., Li, C. et al. Controlling Dynamic Formations of Mobile Agents Governed by Euler-Lagrange Dynamics. Int. J. Control Autom. Syst. 19, 1740–1750 (2021).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Emilda Shajan, Dibakar Ghosh, Jürgen Kurths, Manish Dev Shrimali; Direction-dependent noise-induced synchronization in mobile oscillators. Chaos 1 May 2023; 33 (5): 053108.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Jie Zhou 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begin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instrText xml:space="preserve"> HYPERLINK "https://orcid.org/0000-0002-0997-3496" \t "https://iopscience.iop.org/article/10.1088/1367-2630/ab9851/_blank" </w:instrTex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separate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end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, Gaoxi Xiao and H Eugene Stanley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Control of mobile chaotic agents with jump-based connection adaption strategy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 xml:space="preserve"> 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begin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instrText xml:space="preserve"> HYPERLINK "https://iopscience.iop.org/journal/1367-2630" </w:instrTex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separate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New Journal of Physics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end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, 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begin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instrText xml:space="preserve"> HYPERLINK "https://iopscience.iop.org/volume/1367-2630/22" </w:instrTex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separate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Volume 22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end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, 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begin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instrText xml:space="preserve"> HYPERLINK "https://iopscience.iop.org/issue/1367-2630/22/7" </w:instrTex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separate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July 2020</w:t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fldChar w:fldCharType="end"/>
      </w: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S. N. Chowdhury, S. Majhi and D. Ghosh, "Distance Dependent Competitive Interactions in a Frustrated Network of Mobile Agents," in IEEE Transactions on Network Science and Engineering, vol. 7, no. 4, pp. 3159-3170, 1 Oct.-Dec. 2020.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Arturo Buscarino, Luigi Fortuna, Mattia Frasca, Salvatore Frisenna; Interaction between synchronization and motion in a system of mobile agents. Chaos 1 November 2016; 26 (11): 116302.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Ramírez-Ávila, G.M., Kurths, J., Depickère, S., Deneubourg, JL. (2019). Modeling Fireflies Synchronization. In: Macau, E. (eds) A Mathematical Modeling Approach from Nonlinear Dynamics to Complex Systems . Nonlinear Systems and Complexity, vol 22. Springer, Cham.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C. Hu, H. He and H. Jiang, "Edge-Based Adaptive Distributed Method for Synchronization of Intermittently Coupled Spatiotemporal Networks," in IEEE Transactions on Automatic Control, vol. 67, no. 5, pp. 2597-2604, May 2022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Louis M. Pecora, Thomas L. Carroll; Synchronization of chaotic systems. Chaos 1 September 2015; 25 (9): 097611.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/>
          <w:sz w:val="24"/>
          <w:szCs w:val="24"/>
          <w:lang w:val="ru-RU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ru-RU" w:eastAsia="zh-CN"/>
        </w:rPr>
        <w:t>Alex Arenas, Albert Díaz-Guilera, Jurgen Kurths, Yamir Moreno, Changsong Zhou, Synchronization in complex networks, Physics Reports, Volume 469, Issue 3, 2008, Pages 93-153, ISSN 0370-1573</w:t>
      </w: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" w:cs="Times New Roman"/>
          <w:sz w:val="24"/>
          <w:szCs w:val="24"/>
          <w:lang w:val="ru-RU" w:eastAsia="zh-CN"/>
        </w:rPr>
        <w:t>F. Zhang, W. Chen and Y. Xi, "Motion Synchronization in Mobile Robot Networks: Robustness," 2006 IEEE/RSJ International Conference on Intelligent Robots and Systems, Beijing, China, 2006, pp. 5570-5575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spacing w:after="160" w:line="360" w:lineRule="auto"/>
        <w:ind w:left="425" w:leftChars="0" w:hanging="425" w:firstLineChars="0"/>
        <w:jc w:val="both"/>
        <w:rPr>
          <w:rFonts w:hint="default" w:ascii="Times New Roman" w:hAnsi="Times New Roman" w:eastAsia="Calibri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Calibri"/>
          <w:sz w:val="24"/>
          <w:szCs w:val="24"/>
          <w:lang w:val="en-US" w:eastAsia="zh-CN"/>
        </w:rPr>
        <w:t>Liya Dou, Cheng Song, Xiaofan Wang, Lu Liu, Gang Feng, Target localization and enclosing control for networked mobile agents with bearing measurements, Automatica, Volume 118, 2020, 109022, ISSN 0005-1098.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/>
      </w:rPr>
      <w:t>1</w:t>
    </w:r>
    <w:r>
      <w:rPr>
        <w:lang/>
      </w:rP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81CD4"/>
    <w:multiLevelType w:val="singleLevel"/>
    <w:tmpl w:val="63081CD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F3"/>
    <w:rsid w:val="00015723"/>
    <w:rsid w:val="000171CA"/>
    <w:rsid w:val="000200B4"/>
    <w:rsid w:val="00030F4A"/>
    <w:rsid w:val="00037F1E"/>
    <w:rsid w:val="0004594F"/>
    <w:rsid w:val="00071B36"/>
    <w:rsid w:val="000A5681"/>
    <w:rsid w:val="000A7A97"/>
    <w:rsid w:val="000B7E13"/>
    <w:rsid w:val="000C2BA1"/>
    <w:rsid w:val="001336E8"/>
    <w:rsid w:val="00172866"/>
    <w:rsid w:val="001905E7"/>
    <w:rsid w:val="001A5B1F"/>
    <w:rsid w:val="001B790C"/>
    <w:rsid w:val="001B7A5E"/>
    <w:rsid w:val="001D11CD"/>
    <w:rsid w:val="001F0749"/>
    <w:rsid w:val="001F513C"/>
    <w:rsid w:val="001F7E06"/>
    <w:rsid w:val="00207444"/>
    <w:rsid w:val="00211075"/>
    <w:rsid w:val="00213856"/>
    <w:rsid w:val="00247BD9"/>
    <w:rsid w:val="002954B7"/>
    <w:rsid w:val="002A09CF"/>
    <w:rsid w:val="002E2B0D"/>
    <w:rsid w:val="002F2CE0"/>
    <w:rsid w:val="002F5EAD"/>
    <w:rsid w:val="00301648"/>
    <w:rsid w:val="003146C2"/>
    <w:rsid w:val="00363373"/>
    <w:rsid w:val="003736F3"/>
    <w:rsid w:val="003B3CDD"/>
    <w:rsid w:val="003B65D7"/>
    <w:rsid w:val="003E151B"/>
    <w:rsid w:val="003E6C0A"/>
    <w:rsid w:val="003F5705"/>
    <w:rsid w:val="00403803"/>
    <w:rsid w:val="004672D7"/>
    <w:rsid w:val="00474C25"/>
    <w:rsid w:val="00516030"/>
    <w:rsid w:val="005175BB"/>
    <w:rsid w:val="00585D50"/>
    <w:rsid w:val="00586040"/>
    <w:rsid w:val="005B501B"/>
    <w:rsid w:val="005B5EC9"/>
    <w:rsid w:val="005B6B30"/>
    <w:rsid w:val="005C11B6"/>
    <w:rsid w:val="005F5437"/>
    <w:rsid w:val="006602BE"/>
    <w:rsid w:val="006D2CC4"/>
    <w:rsid w:val="006F693A"/>
    <w:rsid w:val="00705360"/>
    <w:rsid w:val="0071110A"/>
    <w:rsid w:val="00721192"/>
    <w:rsid w:val="00736274"/>
    <w:rsid w:val="00737C7D"/>
    <w:rsid w:val="00737DB4"/>
    <w:rsid w:val="00776A51"/>
    <w:rsid w:val="007A2ED5"/>
    <w:rsid w:val="007A65CC"/>
    <w:rsid w:val="007D2799"/>
    <w:rsid w:val="007E7C65"/>
    <w:rsid w:val="00827BF3"/>
    <w:rsid w:val="00841B70"/>
    <w:rsid w:val="00846CAC"/>
    <w:rsid w:val="00866E59"/>
    <w:rsid w:val="008747A0"/>
    <w:rsid w:val="00887F23"/>
    <w:rsid w:val="008A7DC2"/>
    <w:rsid w:val="0090544B"/>
    <w:rsid w:val="00913C20"/>
    <w:rsid w:val="0091462E"/>
    <w:rsid w:val="00937E2B"/>
    <w:rsid w:val="009412E5"/>
    <w:rsid w:val="009A6E65"/>
    <w:rsid w:val="009B2AD7"/>
    <w:rsid w:val="009B3DB4"/>
    <w:rsid w:val="009C6D04"/>
    <w:rsid w:val="009E7767"/>
    <w:rsid w:val="009F6507"/>
    <w:rsid w:val="00A276F3"/>
    <w:rsid w:val="00A53B11"/>
    <w:rsid w:val="00A610AE"/>
    <w:rsid w:val="00A8769F"/>
    <w:rsid w:val="00A87B3C"/>
    <w:rsid w:val="00AA650F"/>
    <w:rsid w:val="00AD13E1"/>
    <w:rsid w:val="00AD4C08"/>
    <w:rsid w:val="00AD7A6A"/>
    <w:rsid w:val="00B07EF6"/>
    <w:rsid w:val="00B11906"/>
    <w:rsid w:val="00B12D96"/>
    <w:rsid w:val="00B32B5C"/>
    <w:rsid w:val="00B37A94"/>
    <w:rsid w:val="00B37B66"/>
    <w:rsid w:val="00B46D8D"/>
    <w:rsid w:val="00B50ED3"/>
    <w:rsid w:val="00B546AB"/>
    <w:rsid w:val="00B80452"/>
    <w:rsid w:val="00B84CD9"/>
    <w:rsid w:val="00B93A29"/>
    <w:rsid w:val="00BE4F0F"/>
    <w:rsid w:val="00BE5ED1"/>
    <w:rsid w:val="00C120F0"/>
    <w:rsid w:val="00C15520"/>
    <w:rsid w:val="00C21D78"/>
    <w:rsid w:val="00C27C3F"/>
    <w:rsid w:val="00C5756A"/>
    <w:rsid w:val="00C768E1"/>
    <w:rsid w:val="00C775F2"/>
    <w:rsid w:val="00C82711"/>
    <w:rsid w:val="00C8414E"/>
    <w:rsid w:val="00CE0393"/>
    <w:rsid w:val="00CE1C40"/>
    <w:rsid w:val="00CF3624"/>
    <w:rsid w:val="00D11790"/>
    <w:rsid w:val="00D31B9C"/>
    <w:rsid w:val="00D3612B"/>
    <w:rsid w:val="00D4167D"/>
    <w:rsid w:val="00D4270E"/>
    <w:rsid w:val="00D46496"/>
    <w:rsid w:val="00D61B81"/>
    <w:rsid w:val="00DB554A"/>
    <w:rsid w:val="00DD40F5"/>
    <w:rsid w:val="00E066CA"/>
    <w:rsid w:val="00E25E88"/>
    <w:rsid w:val="00E60D66"/>
    <w:rsid w:val="00EB3D8C"/>
    <w:rsid w:val="00ED3C33"/>
    <w:rsid w:val="00EF0E75"/>
    <w:rsid w:val="00F03F69"/>
    <w:rsid w:val="00F1681E"/>
    <w:rsid w:val="00F22852"/>
    <w:rsid w:val="00F357E3"/>
    <w:rsid w:val="00F85FA2"/>
    <w:rsid w:val="00F951FD"/>
    <w:rsid w:val="00FD3E57"/>
    <w:rsid w:val="00FE4537"/>
    <w:rsid w:val="10970CA8"/>
    <w:rsid w:val="2ACF5473"/>
    <w:rsid w:val="3DAD4B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page number"/>
    <w:qFormat/>
    <w:uiPriority w:val="0"/>
    <w:rPr>
      <w:rFonts w:ascii="Arial" w:hAnsi="Arial"/>
      <w:b/>
      <w:sz w:val="14"/>
    </w:rPr>
  </w:style>
  <w:style w:type="paragraph" w:styleId="6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Body Text"/>
    <w:basedOn w:val="1"/>
    <w:qFormat/>
    <w:uiPriority w:val="0"/>
    <w:pPr>
      <w:ind w:firstLine="340"/>
    </w:pPr>
  </w:style>
  <w:style w:type="paragraph" w:styleId="9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0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laceholder Text"/>
    <w:basedOn w:val="2"/>
    <w:semiHidden/>
    <w:uiPriority w:val="99"/>
    <w:rPr>
      <w:color w:val="808080"/>
    </w:rPr>
  </w:style>
  <w:style w:type="character" w:customStyle="1" w:styleId="12">
    <w:name w:val="Верхний колонтитул Знак"/>
    <w:basedOn w:val="2"/>
    <w:link w:val="7"/>
    <w:uiPriority w:val="99"/>
  </w:style>
  <w:style w:type="character" w:customStyle="1" w:styleId="13">
    <w:name w:val="Нижний колонтитул Знак"/>
    <w:basedOn w:val="2"/>
    <w:link w:val="9"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Текст выноски Знак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paragraph" w:customStyle="1" w:styleId="16">
    <w:name w:val="Автор"/>
    <w:basedOn w:val="1"/>
    <w:next w:val="8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17">
    <w:name w:val="Фирма"/>
    <w:basedOn w:val="1"/>
    <w:next w:val="8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1442</Words>
  <Characters>8222</Characters>
  <Lines>68</Lines>
  <Paragraphs>19</Paragraphs>
  <TotalTime>21</TotalTime>
  <ScaleCrop>false</ScaleCrop>
  <LinksUpToDate>false</LinksUpToDate>
  <CharactersWithSpaces>9645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2015-09-16T06:59:00Z</dcterms:created>
  <dc:creator>Левин Вадим Александрович</dc:creator>
  <cp:lastModifiedBy>varva</cp:lastModifiedBy>
  <dcterms:modified xsi:type="dcterms:W3CDTF">2023-11-07T14:01:44Z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7F28C402B3134248BC493029B1E7E7F4_13</vt:lpwstr>
  </property>
</Properties>
</file>