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rPr>
          <w:rFonts w:ascii="Arial" w:hAnsi="Arial"/>
          <w:caps/>
        </w:rPr>
      </w:pPr>
      <w:r>
        <w:rPr>
          <w:rFonts w:ascii="Arial" w:hAnsi="Arial"/>
          <w:lang w:val="ru-RU"/>
        </w:rPr>
        <w:t>У</w:t>
      </w:r>
      <w:r>
        <w:rPr>
          <w:rFonts w:ascii="Arial" w:hAnsi="Arial"/>
          <w:caps/>
          <w:lang w:val="ru-RU"/>
        </w:rPr>
        <w:t>правление</w:t>
      </w:r>
      <w:r>
        <w:rPr>
          <w:rFonts w:hint="default" w:ascii="Arial" w:hAnsi="Arial"/>
          <w:caps/>
          <w:lang w:val="ru-RU"/>
        </w:rPr>
        <w:t xml:space="preserve"> движением ансамблей мобильных агентов в трёхмерном пространстве</w:t>
      </w:r>
    </w:p>
    <w:p>
      <w:pPr>
        <w:pStyle w:val="20"/>
        <w:rPr>
          <w:b/>
        </w:rPr>
      </w:pPr>
      <w:r>
        <w:rPr>
          <w:b/>
          <w:u w:val="single"/>
        </w:rPr>
        <w:t>Е.М. Варварин</w:t>
      </w:r>
      <w:r>
        <w:rPr>
          <w:b/>
          <w:u w:val="single"/>
          <w:vertAlign w:val="superscript"/>
        </w:rPr>
        <w:t>1</w:t>
      </w:r>
      <w:r>
        <w:rPr>
          <w:b/>
        </w:rPr>
        <w:t>, Г.В. Осипов</w:t>
      </w:r>
      <w:r>
        <w:rPr>
          <w:b/>
          <w:vertAlign w:val="superscript"/>
        </w:rPr>
        <w:t>1</w:t>
      </w:r>
    </w:p>
    <w:p>
      <w:pPr>
        <w:pStyle w:val="20"/>
      </w:pPr>
      <w:r>
        <w:rPr>
          <w:vertAlign w:val="superscript"/>
        </w:rPr>
        <w:t>1)</w:t>
      </w:r>
      <w:r>
        <w:t xml:space="preserve"> ННГУ им. Н.И. Лобачевского</w:t>
      </w:r>
    </w:p>
    <w:p>
      <w:pPr>
        <w:spacing w:after="160"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В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данной статье рассматривается глобальная синхронизация ансамбля мобильных агентов в трёхмерном пространстве с изменяющейся топологией связей. Осуществляется моделирование управления движением синхронизованного ансамбля элементов, синхронизация агентов в двумерные структуры и моделирование надёжности полученных структур.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Использование ансамбля мобильных агентов для изучения и анализа коллективной динамики в последние годы широко применяется в различных областях науки и техники [</w:t>
      </w:r>
      <w:r>
        <w:rPr>
          <w:rFonts w:hint="default" w:eastAsia="Calibri" w:cs="Times New Roman"/>
          <w:sz w:val="24"/>
          <w:szCs w:val="24"/>
          <w:lang w:val="en-US" w:eastAsia="ru-RU"/>
        </w:rPr>
        <w:t>1-4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Главным объектом большинства исследований в области коллективной динамики является синхронизация [5, </w:t>
      </w:r>
      <w:r>
        <w:rPr>
          <w:rFonts w:hint="default" w:eastAsia="Calibri" w:cs="Times New Roman"/>
          <w:sz w:val="24"/>
          <w:szCs w:val="24"/>
          <w:lang w:val="en-US" w:eastAsia="ru-RU"/>
        </w:rPr>
        <w:t>6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], которая, в свою очередь,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сильно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зависит от топологии связей ансамбля [7, 8]. Довольно популярной у исследователей является топология связи “каждый с каждым” [</w:t>
      </w:r>
      <w:r>
        <w:rPr>
          <w:rFonts w:hint="default" w:eastAsia="Calibri" w:cs="Times New Roman"/>
          <w:sz w:val="24"/>
          <w:szCs w:val="24"/>
          <w:lang w:val="en-US" w:eastAsia="ru-RU"/>
        </w:rPr>
        <w:t>9, 10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], однако в реальном мире топология большинства структур не является постоянной, связи между элементами могут появляться и исчезать, усиливаться или ослабевать [1</w:t>
      </w:r>
      <w:r>
        <w:rPr>
          <w:rFonts w:hint="default" w:eastAsia="Calibri" w:cs="Times New Roman"/>
          <w:sz w:val="24"/>
          <w:szCs w:val="24"/>
          <w:lang w:val="en-US" w:eastAsia="ru-RU"/>
        </w:rPr>
        <w:t>1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>]. Системы, в которых помимо силы связи может изменяться и положение узлов, удобно рассматривать как ансамбль мобильных агентов [</w:t>
      </w:r>
      <w:r>
        <w:rPr>
          <w:rFonts w:hint="default" w:eastAsia="Calibri" w:cs="Times New Roman"/>
          <w:sz w:val="24"/>
          <w:szCs w:val="24"/>
          <w:lang w:val="en-US" w:eastAsia="ru-RU"/>
        </w:rPr>
        <w:t>12-15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].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Таким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образом удалось рассмотреть: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синхронизацию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мобильных роботов [16],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ru-RU"/>
        </w:rPr>
        <w:t>локализацию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ru-RU"/>
        </w:rPr>
        <w:t xml:space="preserve"> объектов распределённой следящей системой [17] и другие работы.</w:t>
      </w:r>
    </w:p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</w:pPr>
      <w:r>
        <w:rPr>
          <w:rFonts w:hint="default" w:cs="Times New Roman"/>
          <w:sz w:val="24"/>
          <w:szCs w:val="24"/>
          <w:lang w:val="ru-RU"/>
        </w:rPr>
        <w:t xml:space="preserve">В качестве мобильного агента рассмотрим точку, движущуюся в трёхмерном пространстве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(</m:t>
        </m:r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x,y,z)</m:t>
        </m:r>
      </m:oMath>
      <w:r>
        <w:rPr>
          <w:rFonts w:hint="default" w:hAnsi="Cambria Math" w:cs="Times New Roman"/>
          <w:i w:val="0"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4"/>
          <w:szCs w:val="24"/>
          <w:lang w:val="ru-RU" w:eastAsia="en-US"/>
        </w:rPr>
        <w:t>так, что её траектория полностью совпадает с траекторией соответствующего ей хаотического осциллятора. В данной работе, не теряя общности, рассмотрим осциллятор Рёсслера (1)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en-US"/>
        </w:rPr>
        <w:t>.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ru-RU" w:eastAsia="en-US"/>
        </w:rPr>
      </w:pPr>
      <w:r>
        <w:rPr>
          <w:rFonts w:hint="default" w:hAnsi="Cambria Math" w:cs="Times New Roman"/>
          <w:i w:val="0"/>
          <w:sz w:val="24"/>
          <w:szCs w:val="24"/>
          <w:lang w:val="ru-RU" w:eastAsia="en-US" w:bidi="ar-SA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b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, 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hint="default" w:ascii="Cambria Math" w:hAnsi="Cambria Math" w:cs="Times New Roman"/>
                <w:i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i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- </w:t>
      </w:r>
      <w:r>
        <w:rPr>
          <w:rFonts w:hint="default" w:cs="Times New Roman"/>
          <w:sz w:val="24"/>
          <w:szCs w:val="24"/>
          <w:lang w:val="ru-RU" w:eastAsia="en-US"/>
        </w:rPr>
        <w:t>положительные параметры.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highlight w:val="none"/>
          <w:lang w:val="en-US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Организацию управления движением ансамбля мобильных агентов в пространстве можно разбить на два этапа</w:t>
      </w:r>
      <w:r>
        <w:rPr>
          <w:rFonts w:hint="default" w:cs="Times New Roman"/>
          <w:sz w:val="24"/>
          <w:szCs w:val="24"/>
          <w:highlight w:val="none"/>
          <w:lang w:val="en-US" w:eastAsia="en-US"/>
        </w:rPr>
        <w:t xml:space="preserve">: 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Установление конфигурации агентов.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both"/>
        <w:rPr>
          <w:rFonts w:hint="default" w:cs="Times New Roman"/>
          <w:sz w:val="24"/>
          <w:szCs w:val="24"/>
          <w:highlight w:val="none"/>
          <w:lang w:val="ru-RU" w:eastAsia="en-US"/>
        </w:rPr>
      </w:pPr>
      <w:r>
        <w:rPr>
          <w:rFonts w:hint="default" w:cs="Times New Roman"/>
          <w:sz w:val="24"/>
          <w:szCs w:val="24"/>
          <w:highlight w:val="none"/>
          <w:lang w:val="ru-RU" w:eastAsia="en-US"/>
        </w:rPr>
        <w:t>Выведение агентов на траекторию движения.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ru-RU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>Для решения поставленных задач мы использовали методы</w:t>
      </w:r>
      <w:r>
        <w:rPr>
          <w:rFonts w:hint="default" w:cs="Times New Roman"/>
          <w:sz w:val="24"/>
          <w:szCs w:val="24"/>
          <w:lang w:val="en-US" w:eastAsia="en-US"/>
        </w:rPr>
        <w:t>:</w:t>
      </w:r>
      <w:r>
        <w:rPr>
          <w:rFonts w:hint="default" w:cs="Times New Roman"/>
          <w:sz w:val="24"/>
          <w:szCs w:val="24"/>
          <w:lang w:val="ru-RU" w:eastAsia="en-US"/>
        </w:rPr>
        <w:t xml:space="preserve"> хаотической фазовой синхронизации (для задания агентам определённой конфигурации) и вынужденной синхронизацией</w:t>
      </w:r>
    </w:p>
    <w:p>
      <w:pPr>
        <w:spacing w:line="360" w:lineRule="auto"/>
        <w:ind w:firstLine="284"/>
        <w:jc w:val="both"/>
        <w:rPr>
          <w:rFonts w:hint="default" w:cs="Times New Roman"/>
          <w:sz w:val="24"/>
          <w:szCs w:val="24"/>
          <w:lang w:val="en-US" w:eastAsia="en-US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Целью нашего исследования является создание агентов, которые начинают взаимодействие с соседними элементами только при достаточной близости, поэтому при любой конфигурации связь между агентами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и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w:r>
        <w:rPr>
          <w:rFonts w:hint="default" w:hAnsi="Cambria Math" w:cs="Times New Roman"/>
          <w:i/>
          <w:iCs w:val="0"/>
          <w:sz w:val="24"/>
          <w:szCs w:val="24"/>
          <w:lang w:val="en-US" w:eastAsia="en-US" w:bidi="ar-SA"/>
        </w:rPr>
        <w:t>j</w:t>
      </w:r>
      <w:r>
        <w:rPr>
          <w:rFonts w:hint="default" w:cs="Times New Roman"/>
          <w:sz w:val="24"/>
          <w:szCs w:val="24"/>
          <w:lang w:val="en-US" w:eastAsia="en-US"/>
        </w:rPr>
        <w:t xml:space="preserve"> </w:t>
      </w:r>
      <w:r>
        <w:rPr>
          <w:rFonts w:hint="default" w:cs="Times New Roman"/>
          <w:sz w:val="24"/>
          <w:szCs w:val="24"/>
          <w:lang w:val="ru-RU" w:eastAsia="en-US"/>
        </w:rPr>
        <w:t>будет удовлетворять условию (2)</w:t>
      </w:r>
      <w:r>
        <w:rPr>
          <w:rFonts w:hint="default" w:cs="Times New Roman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"/>
        <w:gridCol w:w="7231"/>
        <w:gridCol w:w="10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r>
                  <m:rPr/>
                  <w:rPr>
                    <w:rFonts w:ascii="Cambria Math" w:hAnsi="Cambria Math" w:eastAsia="Calibri"/>
                    <w:sz w:val="24"/>
                    <w:szCs w:val="24"/>
                    <w:lang w:val="en-US"/>
                  </w:rPr>
                  <m:t>d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'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</w:rPr>
                          <m:t xml:space="preserve">, 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iCs w:val="0"/>
                                <w:sz w:val="24"/>
                                <w:szCs w:val="24"/>
                                <w:lang w:val="en-US"/>
                              </w:rPr>
                            </m:ctrlPr>
                          </m:sup>
                        </m:sSup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&lt;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 w:val="0"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в противном случае</m:t>
                        </m:r>
                        <m:ctrlPr>
                          <w:rPr>
                            <w:rFonts w:ascii="Cambria Math" w:hAnsi="Cambria Math"/>
                            <w:i/>
                            <w:iCs w:val="0"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(2)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sz w:val="24"/>
          <w:szCs w:val="24"/>
          <w:lang w:val="ru-RU" w:eastAsia="en-US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= const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параметр связи в нашем исследовании.</w:t>
      </w:r>
    </w:p>
    <w:p>
      <w:pPr>
        <w:pStyle w:val="3"/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>Реализованные конфигурации движения роя мобильных агентов.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Последовательное движение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Добавим в систему (1) «притягивающую»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y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следующим образом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Результаты численных экспериментов представлены на Рисунке 1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44495" cy="2806700"/>
            <wp:effectExtent l="0" t="0" r="12065" b="12700"/>
            <wp:docPr id="1" name="Изображение 1" descr="частичная синхронизация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частичная синхронизация (3)"/>
                    <pic:cNvPicPr>
                      <a:picLocks noChangeAspect="1"/>
                    </pic:cNvPicPr>
                  </pic:nvPicPr>
                  <pic:blipFill>
                    <a:blip r:embed="rId7"/>
                    <a:srcRect l="3014" t="11314" r="9354" b="515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55290" cy="2832735"/>
            <wp:effectExtent l="0" t="0" r="1270" b="1905"/>
            <wp:docPr id="2" name="Изображение 2" descr="полная синхрониз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полная синхронизация"/>
                    <pic:cNvPicPr>
                      <a:picLocks noChangeAspect="1"/>
                    </pic:cNvPicPr>
                  </pic:nvPicPr>
                  <pic:blipFill>
                    <a:blip r:embed="rId8"/>
                    <a:srcRect l="4083" t="11061" r="8800" b="5481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en-US" w:eastAsia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Рис.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begin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instrText xml:space="preserve"> SEQ Изображение \* ARABIC </w:instrTex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>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fldChar w:fldCharType="end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ru-RU" w:eastAsia="en-US" w:bidi="ar-SA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Последовательное движение агентов. Слева - кластерная синхронизация роя, справа - последующая глобальная синхронизация. 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= 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0.1,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8.5,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>.</w:t>
      </w:r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Параллельное движение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 агентов.</w:t>
      </w:r>
    </w:p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Для подобного движения помимо «притягивающей» связи из предыдущего пункта, необходимо добавить «отталкивающую» связь по координате </w:t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x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f>
                              <m:f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num>
                              <m:den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 xml:space="preserve"> −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 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При сближении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го и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j</m:t>
        </m:r>
      </m:oMath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-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го агентов данная связь обеспечит противоположно направленные силы, что приведёт агентов к отталкиванию.</w:t>
      </w:r>
      <w:r>
        <w:rPr>
          <w:rFonts w:hint="default" w:cs="Times New Roman"/>
          <w:i w:val="0"/>
          <w:iCs/>
          <w:sz w:val="24"/>
          <w:szCs w:val="24"/>
          <w:highlight w:val="red"/>
          <w:lang w:val="ru-RU" w:eastAsia="en-US" w:bidi="ar-SA"/>
        </w:rPr>
        <w:t>?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27350" cy="2862580"/>
            <wp:effectExtent l="0" t="0" r="13970" b="2540"/>
            <wp:docPr id="4" name="Изображение 4" descr="частичная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частичная (2)"/>
                    <pic:cNvPicPr>
                      <a:picLocks noChangeAspect="1"/>
                    </pic:cNvPicPr>
                  </pic:nvPicPr>
                  <pic:blipFill>
                    <a:blip r:embed="rId9"/>
                    <a:srcRect l="5570" t="11108" r="9066" b="5431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drawing>
          <wp:inline distT="0" distB="0" distL="114300" distR="114300">
            <wp:extent cx="2987040" cy="2861945"/>
            <wp:effectExtent l="0" t="0" r="0" b="3175"/>
            <wp:docPr id="5" name="Изображение 5" descr="пол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полная"/>
                    <pic:cNvPicPr>
                      <a:picLocks noChangeAspect="1"/>
                    </pic:cNvPicPr>
                  </pic:nvPicPr>
                  <pic:blipFill>
                    <a:blip r:embed="rId10"/>
                    <a:srcRect l="4159" t="11247" r="8552" b="515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Рис.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 xml:space="preserve">Параллельное движение роя агентов. Слева - движение в кластерах, справа - последующая полная синхронизация.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= 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0.1,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8.5,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  <m:r>
          <m:rPr>
            <m:sty m:val="p"/>
          </m:rPr>
          <w:rPr>
            <w:rFonts w:hint="default" w:ascii="Times New Roman" w:hAnsi="Cambria Math" w:eastAsia="Times New Roman" w:cs="Times New Roman"/>
            <w:sz w:val="24"/>
            <w:szCs w:val="24"/>
            <w:lang w:val="ru-RU" w:eastAsia="en-US" w:bidi="ar-SA"/>
          </w:rPr>
          <m:t>.</m:t>
        </m:r>
      </m:oMath>
    </w:p>
    <w:p>
      <w:pPr>
        <w:numPr>
          <w:ilvl w:val="0"/>
          <w:numId w:val="2"/>
        </w:numPr>
        <w:tabs>
          <w:tab w:val="clear" w:pos="425"/>
        </w:tabs>
        <w:spacing w:line="360" w:lineRule="auto"/>
        <w:ind w:left="425" w:leftChars="0" w:hanging="425" w:firstLineChars="0"/>
        <w:jc w:val="both"/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Придание рою мобильных агентов структуры различных геометрических форм.</w:t>
      </w:r>
      <w:r>
        <w:rPr>
          <w:rFonts w:hint="default" w:cs="Times New Roman"/>
          <w:i w:val="0"/>
          <w:iCs/>
          <w:sz w:val="24"/>
          <w:szCs w:val="24"/>
          <w:highlight w:val="red"/>
          <w:lang w:val="ru-RU" w:eastAsia="en-US" w:bidi="ar-SA"/>
        </w:rPr>
        <w:t>?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В данном разделе мы использовали определённые комбинации связей для последовательного и параллельного движения для получения структур различной геометрической формы (прямоугольник, круг, треугольник и др.) Не теряя общности, рассмотрим конфигураци  типа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прямоугольник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Для организации подобного движения введём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bidi="ar-SA"/>
        </w:rPr>
        <w:t>и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 xml:space="preserve"> 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число элементов в одной строке и одном столбце соответственно. Тогда для каждой отдельной строки нам нужно добавить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«отталкивающую»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связь. В то же время нам нужно связать строку с соседними строками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«притягивающей»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связью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s(i) +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d</m:t>
                                </m:r>
                                <m:d>
                                  <m:d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j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m:rPr/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 w:val="0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e>
                                </m:d>
                                <m:r>
                                  <m:rPr/>
                                  <w:rPr>
                                    <w:rFonts w:hint="default" w:ascii="Cambria Math" w:hAnsi="Cambria Math"/>
                                    <w:sz w:val="24"/>
                                    <w:szCs w:val="24"/>
                                    <w:lang w:val="ru-RU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d</m:t>
                                    </m:r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m:rPr/>
                                          <w:rPr>
                                            <w:rFonts w:hint="default" w:ascii="Cambria Math" w:hAnsi="Cambria Math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 xml:space="preserve"> − 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/>
                                              <w:rPr>
                                                <w:rFonts w:hint="default" w:ascii="Cambria Math" w:hAnsi="Cambria Math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  <m:ctrlPr>
                                              <w:rPr>
                                                <w:rFonts w:hint="default"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hint="default" w:ascii="Cambria Math" w:hAnsi="Cambria Math"/>
                                            <w:i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hint="default" w:ascii="Cambria Math" w:hAnsi="Cambria Math"/>
                                        <w:i/>
                                        <w:sz w:val="24"/>
                                        <w:szCs w:val="24"/>
                                        <w:lang w:val="ru-RU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+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naryPr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j =max(0;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 xml:space="preserve">min(N; 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s(i) +2</m:t>
                            </m:r>
                            <m:r>
                              <m:rPr/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∙</m:t>
                            </m:r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Times New Roman"/>
                                    <w:sz w:val="24"/>
                                    <w:szCs w:val="24"/>
                                    <w:lang w:val="en-US" w:bidi="ar-SA"/>
                                  </w:rPr>
                                  <m:t>str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4"/>
                                    <w:szCs w:val="24"/>
                                    <w:lang w:val="ru-RU" w:bidi="ar-SA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Times New Roman"/>
                                <w:sz w:val="24"/>
                                <w:szCs w:val="24"/>
                                <w:lang w:val="en-US" w:bidi="ar-SA"/>
                              </w:rPr>
                              <m:t>−1</m:t>
                            </m:r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p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e>
                                  <m:sub>
                                    <m:r>
                                      <m:rPr/>
                                      <w:rPr>
                                        <w:rFonts w:hint="default"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 w:val="0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hint="default"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</m:nary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−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=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где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1,N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acc>
      </m:oMath>
      <w:r>
        <w:rPr>
          <w:rFonts w:hint="default" w:hAnsi="Cambria Math"/>
          <w:i w:val="0"/>
          <w:sz w:val="24"/>
          <w:szCs w:val="24"/>
          <w:lang w:val="en-US"/>
        </w:rPr>
        <w:t>,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Cambria Math"/>
            <w:sz w:val="24"/>
            <w:szCs w:val="24"/>
            <w:lang w:val="ru-RU" w:bidi="ar-SA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col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 xml:space="preserve"> = N</m:t>
        </m:r>
      </m:oMath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bidi="ar-SA"/>
        </w:rPr>
        <w:t xml:space="preserve">,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s(i)</m:t>
        </m:r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>=</m:t>
        </m:r>
        <m:d>
          <m:dP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d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i − i mod(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bidi="ar-SA"/>
                  </w:rPr>
                  <m:t>str</m:t>
                </m: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ru-RU" w:bidi="ar-SA"/>
                  </w:rPr>
                </m:ctrlPr>
              </m:sub>
            </m:s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)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 w:bidi="ar-SA"/>
              </w:rPr>
              <m:t xml:space="preserve"> + 1</m:t>
            </m:r>
            <m:ctrlPr>
              <w:rPr>
                <w:rFonts w:hint="default" w:ascii="Cambria Math" w:hAnsi="Cambria Math" w:cs="Times New Roman"/>
                <w:i w:val="0"/>
                <w:iCs/>
                <w:sz w:val="24"/>
                <w:szCs w:val="24"/>
                <w:lang w:val="en-US" w:eastAsia="en-US" w:bidi="ar-SA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-US" w:eastAsia="en-US" w:bidi="ar-SA"/>
          </w:rPr>
          <m:t xml:space="preserve"> </m:t>
        </m:r>
      </m:oMath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ascii="Times New Roman" w:hAnsi="Cambria Math" w:cs="Times New Roman"/>
          <w:i w:val="0"/>
          <w:iCs/>
          <w:sz w:val="24"/>
          <w:szCs w:val="24"/>
          <w:lang w:val="ru-RU" w:eastAsia="en-US" w:bidi="ar-SA"/>
        </w:rPr>
        <w:t xml:space="preserve"> первый элемент текущей строки для элемента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 xml:space="preserve"> i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,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i mod(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szCs w:val="24"/>
            <w:lang w:val="en-US" w:bidi="ar-SA"/>
          </w:rPr>
          <m:t>)</m:t>
        </m:r>
      </m:oMath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i w:val="0"/>
          <w:iCs/>
          <w:sz w:val="24"/>
          <w:szCs w:val="24"/>
          <w:lang w:val="ru-RU" w:eastAsia="en-US" w:bidi="ar-SA"/>
        </w:rPr>
        <w:t>—</w:t>
      </w:r>
      <w:r>
        <w:rPr>
          <w:rFonts w:hint="default" w:hAnsi="Cambria Math" w:cs="Times New Roman"/>
          <w:i w:val="0"/>
          <w:sz w:val="24"/>
          <w:szCs w:val="24"/>
          <w:lang w:val="en-US" w:bidi="ar-SA"/>
        </w:rPr>
        <w:t xml:space="preserve"> </w:t>
      </w:r>
      <w:r>
        <w:rPr>
          <w:rFonts w:hint="default" w:hAnsi="Cambria Math" w:cs="Times New Roman"/>
          <w:i w:val="0"/>
          <w:sz w:val="24"/>
          <w:szCs w:val="24"/>
          <w:lang w:val="ru-RU" w:bidi="ar-SA"/>
        </w:rPr>
        <w:t xml:space="preserve">остаток от деления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i</m:t>
        </m:r>
      </m:oMath>
      <w:r>
        <w:rPr>
          <w:rFonts w:hint="default" w:hAnsi="Cambria Math" w:cs="Times New Roman"/>
          <w:i w:val="0"/>
          <w:iCs/>
          <w:sz w:val="24"/>
          <w:szCs w:val="24"/>
          <w:lang w:val="en-US" w:eastAsia="en-US" w:bidi="ar-SA"/>
        </w:rPr>
        <w:t xml:space="preserve"> </w:t>
      </w:r>
      <w:r>
        <w:rPr>
          <w:rFonts w:hint="default" w:hAnsi="Cambria Math" w:cs="Times New Roman"/>
          <w:i w:val="0"/>
          <w:iCs/>
          <w:sz w:val="24"/>
          <w:szCs w:val="24"/>
          <w:lang w:val="ru-RU" w:eastAsia="en-US" w:bidi="ar-SA"/>
        </w:rPr>
        <w:t xml:space="preserve">на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str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ru-RU" w:bidi="ar-SA"/>
              </w:rPr>
            </m:ctrlPr>
          </m:sub>
        </m:sSub>
      </m:oMath>
      <w:r>
        <w:rPr>
          <w:rFonts w:hint="default" w:hAnsi="Cambria Math" w:cs="Times New Roman"/>
          <w:i w:val="0"/>
          <w:iCs/>
          <w:sz w:val="24"/>
          <w:szCs w:val="24"/>
          <w:lang w:val="en-US" w:bidi="ar-SA"/>
        </w:rPr>
        <w:t>.</w:t>
      </w:r>
    </w:p>
    <w:p>
      <w:pPr>
        <w:spacing w:line="360" w:lineRule="auto"/>
        <w:ind w:firstLine="284"/>
        <w:jc w:val="center"/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</w:pPr>
      <w:r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  <w:drawing>
          <wp:inline distT="0" distB="0" distL="114300" distR="114300">
            <wp:extent cx="2907665" cy="2769235"/>
            <wp:effectExtent l="0" t="0" r="3175" b="4445"/>
            <wp:docPr id="6" name="Изображение 6" descr="сетка кластеры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етка кластеры (3)"/>
                    <pic:cNvPicPr>
                      <a:picLocks noChangeAspect="1"/>
                    </pic:cNvPicPr>
                  </pic:nvPicPr>
                  <pic:blipFill>
                    <a:blip r:embed="rId11"/>
                    <a:srcRect l="3817" t="11257" r="8724" b="5516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iCs/>
          <w:sz w:val="24"/>
          <w:szCs w:val="24"/>
          <w:lang w:val="ru-RU" w:bidi="ar-SA"/>
        </w:rPr>
        <w:drawing>
          <wp:inline distT="0" distB="0" distL="114300" distR="114300">
            <wp:extent cx="2834640" cy="2767965"/>
            <wp:effectExtent l="0" t="0" r="0" b="5715"/>
            <wp:docPr id="7" name="Изображение 7" descr="сетка пол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етка полная"/>
                    <pic:cNvPicPr>
                      <a:picLocks noChangeAspect="1"/>
                    </pic:cNvPicPr>
                  </pic:nvPicPr>
                  <pic:blipFill>
                    <a:blip r:embed="rId12"/>
                    <a:srcRect l="5912" t="11268" r="8927" b="56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Придание рою структуры квадрата. Слева - агенты объединились в группы. Справа - агенты объединились в одну группу. </w:t>
      </w:r>
      <w:r>
        <w:rPr>
          <w:rFonts w:hint="default" w:ascii="Times New Roman" w:hAnsi="Times New Roman" w:eastAsia="Times New Roman" w:cs="Times New Roman"/>
          <w:sz w:val="24"/>
          <w:szCs w:val="24"/>
          <w:lang w:val="ru-RU" w:eastAsia="en-US" w:bidi="ar-SA"/>
        </w:rPr>
        <w:t>Значения параметров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US" w:bidi="ar-SA"/>
        </w:rPr>
        <w:t xml:space="preserve">: </w:t>
      </w:r>
      <m:oMath>
        <m:r>
          <m:rPr>
            <m:sty m:val="p"/>
          </m:rPr>
          <w:rPr>
            <w:rFonts w:hint="default" w:ascii="Cambria Math" w:hAnsi="Times New Roman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Sup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e>
          <m:sup>
            <m:r>
              <m:rPr/>
              <w:rPr>
                <w:rFonts w:hint="default" w:ascii="Cambria Math" w:hAnsi="Cambria Math"/>
                <w:sz w:val="24"/>
                <w:szCs w:val="24"/>
                <w:lang w:val="en-US"/>
              </w:rPr>
              <m:t>'</m:t>
            </m:r>
            <m:ctrlPr>
              <w:rPr>
                <w:rFonts w:ascii="Cambria Math" w:hAnsi="Cambria Math"/>
                <w:i/>
                <w:iCs w:val="0"/>
                <w:sz w:val="24"/>
                <w:szCs w:val="24"/>
              </w:rPr>
            </m:ctrlPr>
          </m:sup>
        </m:sSup>
        <m:r>
          <m:rPr/>
          <w:rPr>
            <w:rFonts w:hint="default" w:ascii="Cambria Math" w:hAnsi="Cambria Math"/>
            <w:sz w:val="24"/>
            <w:szCs w:val="24"/>
            <w:lang w:val="en-US"/>
          </w:rPr>
          <m:t>=0.2, r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=</m:t>
        </m:r>
        <m:r>
          <m:rPr/>
          <w:rPr>
            <w:rFonts w:hint="default" w:ascii="Cambria Math" w:hAnsi="Cambria Math"/>
            <w:sz w:val="24"/>
            <w:szCs w:val="24"/>
            <w:lang w:val="ru-RU"/>
          </w:rPr>
          <m:t xml:space="preserve"> </m:t>
        </m:r>
        <m:r>
          <m:rPr/>
          <w:rPr>
            <w:rFonts w:hint="default" w:ascii="Cambria Math" w:hAnsi="Cambria Math"/>
            <w:sz w:val="24"/>
            <w:szCs w:val="24"/>
            <w:lang w:val="en-US"/>
          </w:rPr>
          <m:t>4,</m:t>
        </m:r>
      </m:oMath>
      <w:r>
        <w:rPr>
          <w:rFonts w:hint="default" w:hAnsi="Cambria Math"/>
          <w:i w:val="0"/>
          <w:iCs w:val="0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0.22, </m:t>
        </m:r>
      </m:oMath>
      <w:r>
        <w:rPr>
          <w:rFonts w:hint="default" w:ascii="Times New Roman" w:hAnsi="Cambria Math" w:eastAsia="Times New Roman" w:cs="Times New Roman"/>
          <w:i w:val="0"/>
          <w:sz w:val="24"/>
          <w:szCs w:val="24"/>
          <w:lang w:val="ru-RU" w:eastAsia="en-US" w:bidi="ar-SA"/>
        </w:rPr>
        <w:t xml:space="preserve"> </w:t>
      </w:r>
      <m:oMath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b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0.1,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c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=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8.5,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ru-RU" w:eastAsia="en-US" w:bidi="ar-S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 xml:space="preserve"> </m:t>
        </m:r>
        <m:sSub>
          <m:sSubP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SubPr>
          <m:e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w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4"/>
                <w:szCs w:val="24"/>
                <w:lang w:val="en-US" w:eastAsia="en-US" w:bidi="ar-SA"/>
              </w:rPr>
              <m:t>i</m:t>
            </m:r>
            <m:ctrlPr>
              <w:rPr>
                <w:rFonts w:hint="default" w:ascii="Cambria Math" w:hAnsi="Cambria Math" w:eastAsia="Times New Roman" w:cs="Times New Roman"/>
                <w:i/>
                <w:iCs w:val="0"/>
                <w:sz w:val="24"/>
                <w:szCs w:val="24"/>
                <w:lang w:val="en-US" w:eastAsia="en-US" w:bidi="ar-S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4"/>
            <w:szCs w:val="24"/>
            <w:lang w:val="en-US" w:eastAsia="en-US" w:bidi="ar-SA"/>
          </w:rPr>
          <m:t>∈[0.93, 1.07]</m:t>
        </m:r>
        <m:r>
          <m:rPr>
            <m:sty m:val="p"/>
          </m:rPr>
          <w:rPr>
            <w:rFonts w:hint="default" w:ascii="Times New Roman" w:hAnsi="Cambria Math" w:eastAsia="Times New Roman" w:cs="Times New Roman"/>
            <w:sz w:val="24"/>
            <w:szCs w:val="24"/>
            <w:lang w:val="ru-RU" w:eastAsia="en-US" w:bidi="ar-SA"/>
          </w:rPr>
          <m:t>.</m:t>
        </m:r>
      </m:oMath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Анализ влияния нарушения межэлементных связей.</w:t>
      </w:r>
    </w:p>
    <w:p>
      <w:pPr>
        <w:spacing w:line="360" w:lineRule="auto"/>
        <w:ind w:firstLine="284"/>
        <w:jc w:val="both"/>
        <w:rPr>
          <w:rFonts w:hint="default"/>
          <w:lang w:val="ru-RU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мы экспериментально рассматриваем зависимости структурной устойчивости ансамбля при удалении из него части агентов.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центра роя.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Путём численных экспериментов было обнаружено, что при любой структуре роя существует критическое значение числа удалённых агентов, при котором структура разбивается на несколько кластеров.</w:t>
      </w:r>
      <w:bookmarkStart w:id="0" w:name="_GoBack"/>
      <w:bookmarkEnd w:id="0"/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Удаление элементов из случайных позиций.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en-US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В данном эксперименте элементы удаляются из случайных позиций. Теперь количество объединённых групп агентов зависит не только от числа удалённых элементов, но и от их позиций. Не трудно увидеть по системе (5), что при удалении целой строки агентов глобальная связь ансамбля теряется и рой разобьётся как минимум на две части - до и после удалённой строки. Ниже в виде таблицы представлены результаты численных экспериментов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</w:p>
    <w:p>
      <w:pPr>
        <w:pStyle w:val="3"/>
        <w:bidi w:val="0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/>
          <w:lang w:val="ru-RU" w:eastAsia="en-US"/>
        </w:rPr>
        <w:t>Управление роем.</w:t>
      </w:r>
    </w:p>
    <w:p>
      <w:pPr>
        <w:spacing w:line="360" w:lineRule="auto"/>
        <w:ind w:firstLine="284"/>
        <w:jc w:val="both"/>
        <w:rPr>
          <w:rFonts w:hint="default" w:cs="Times New Roman"/>
          <w:i w:val="0"/>
          <w:iCs/>
          <w:sz w:val="24"/>
          <w:szCs w:val="24"/>
          <w:lang w:val="ru-RU" w:eastAsia="en-US" w:bidi="ar-SA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Рассмотрим задачу деактивацию всех агентов и перемещение их в начало координат. Для этого помимо агентов, заданных системой (1), вводится ещё  один агент, который движется по заданной траектории. В качестве такого агента возьмём осциллятор Ван-дер-Поля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>:</w:t>
      </w:r>
    </w:p>
    <w:tbl>
      <w:tblPr>
        <w:tblStyle w:val="5"/>
        <w:tblW w:w="93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7474"/>
        <w:gridCol w:w="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</w:p>
        </w:tc>
        <w:tc>
          <w:tcPr>
            <w:tcW w:w="747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  <w:lang w:val="en-US"/>
                          </w:rPr>
                          <m:t>=−Y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acc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=WX+μ</m:t>
                        </m:r>
                        <m:d>
                          <m:dPr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/>
                              <w:rPr>
                                <w:rFonts w:ascii="Cambria Math" w:hAnsi="Cambria Math" w:eastAsia="Times New Roman"/>
                                <w:sz w:val="24"/>
                                <w:szCs w:val="24"/>
                              </w:rPr>
                              <m:t>1−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m:rPr/>
                                  <w:rPr>
                                    <w:rFonts w:ascii="Cambria Math" w:hAnsi="Cambria Math" w:eastAsia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 w:eastAsia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hAnsi="Cambria Math" w:eastAsia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  <m:r>
                          <m:rPr/>
                          <w:rPr>
                            <w:rFonts w:ascii="Cambria Math" w:hAnsi="Cambria Math" w:eastAsia="Times New Roman"/>
                            <w:sz w:val="24"/>
                            <w:szCs w:val="24"/>
                          </w:rPr>
                          <m:t>Y</m:t>
                        </m:r>
                        <m:ctrlPr>
                          <w:rPr>
                            <w:rFonts w:ascii="Cambria Math" w:hAnsi="Cambria Math" w:eastAsia="Times New Roman"/>
                            <w:i/>
                            <w:sz w:val="24"/>
                            <w:szCs w:val="24"/>
                          </w:rPr>
                        </m:ctrlPr>
                      </m:e>
                    </m:eqArr>
                    <m:ctrlPr>
                      <w:rPr>
                        <w:rFonts w:ascii="Cambria Math" w:hAnsi="Cambria Math" w:eastAsia="Times New Roman"/>
                        <w:i/>
                        <w:sz w:val="24"/>
                        <w:szCs w:val="24"/>
                      </w:rPr>
                    </m:ctrlPr>
                  </m:e>
                </m:d>
              </m:oMath>
            </m:oMathPara>
          </w:p>
        </w:tc>
        <w:tc>
          <w:tcPr>
            <w:tcW w:w="802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/>
                <w:sz w:val="24"/>
                <w:szCs w:val="24"/>
              </w:rPr>
              <w:t>(</w:t>
            </w:r>
            <w:r>
              <w:rPr>
                <w:rFonts w:hint="default" w:eastAsia="Times New Roman"/>
                <w:sz w:val="24"/>
                <w:szCs w:val="24"/>
                <w:lang w:val="ru-RU"/>
              </w:rPr>
              <w:t>6</w:t>
            </w:r>
            <w:r>
              <w:rPr>
                <w:rFonts w:ascii="Times New Roman" w:hAnsi="Times New Roman" w:eastAsia="Times New Roman"/>
                <w:sz w:val="24"/>
                <w:szCs w:val="24"/>
              </w:rPr>
              <w:t>)</w:t>
            </w:r>
          </w:p>
        </w:tc>
      </w:tr>
    </w:tbl>
    <w:p>
      <w:pPr>
        <w:spacing w:line="360" w:lineRule="auto"/>
        <w:ind w:firstLine="284"/>
        <w:jc w:val="both"/>
        <w:rPr>
          <w:rFonts w:hint="default" w:hAnsi="Cambria Math" w:eastAsia="Times New Roman"/>
          <w:i w:val="0"/>
          <w:sz w:val="24"/>
          <w:szCs w:val="24"/>
          <w:lang w:val="en-US"/>
        </w:rPr>
      </w:pP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 xml:space="preserve">где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μ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 xml:space="preserve"> </w:t>
      </w:r>
      <w:r>
        <w:rPr>
          <w:rFonts w:hint="default" w:cs="Times New Roman"/>
          <w:i w:val="0"/>
          <w:iCs/>
          <w:sz w:val="24"/>
          <w:szCs w:val="24"/>
          <w:lang w:val="en-US" w:eastAsia="en-US" w:bidi="ar-SA"/>
        </w:rPr>
        <w:t xml:space="preserve">- </w:t>
      </w:r>
      <w:r>
        <w:rPr>
          <w:rFonts w:hint="default" w:cs="Times New Roman"/>
          <w:i w:val="0"/>
          <w:iCs/>
          <w:sz w:val="24"/>
          <w:szCs w:val="24"/>
          <w:lang w:val="ru-RU" w:eastAsia="en-US" w:bidi="ar-SA"/>
        </w:rPr>
        <w:t>малый параметр,</w:t>
      </w:r>
      <w:r>
        <w:rPr>
          <w:rFonts w:hint="default" w:hAnsi="Cambria Math" w:eastAsia="Times New Roman"/>
          <w:i w:val="0"/>
          <w:sz w:val="24"/>
          <w:szCs w:val="24"/>
          <w:lang w:val="ru-RU"/>
        </w:rPr>
        <w:t xml:space="preserve"> </w:t>
      </w:r>
      <m:oMath>
        <m:r>
          <m:rPr/>
          <w:rPr>
            <w:rFonts w:ascii="Cambria Math" w:hAnsi="Cambria Math" w:eastAsia="Times New Roman"/>
            <w:sz w:val="24"/>
            <w:szCs w:val="24"/>
          </w:rPr>
          <m:t>W</m:t>
        </m:r>
        <m:r>
          <m:rPr/>
          <w:rPr>
            <w:rFonts w:hint="default" w:ascii="Cambria Math" w:hAnsi="Cambria Math" w:eastAsia="Times New Roman"/>
            <w:sz w:val="24"/>
            <w:szCs w:val="24"/>
            <w:lang w:val="en-US"/>
          </w:rPr>
          <m:t xml:space="preserve"> = 1</m:t>
        </m:r>
      </m:oMath>
      <w:r>
        <w:rPr>
          <w:rFonts w:hint="default" w:hAnsi="Cambria Math" w:eastAsia="Times New Roman"/>
          <w:i w:val="0"/>
          <w:sz w:val="24"/>
          <w:szCs w:val="24"/>
          <w:lang w:val="en-US"/>
        </w:rPr>
        <w:t>.</w:t>
      </w:r>
    </w:p>
    <w:p>
      <w:pPr>
        <w:spacing w:line="360" w:lineRule="auto"/>
        <w:ind w:firstLine="284"/>
        <w:jc w:val="both"/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Для остальных агентов возьмём уравнение (5) и добавим всем элементам связь с уравнением Ван-дер-Поля следующим образом</w:t>
      </w: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en-US" w:eastAsia="en-US"/>
        </w:rPr>
        <w:t>:</w:t>
      </w:r>
    </w:p>
    <w:tbl>
      <w:tblPr>
        <w:tblStyle w:val="5"/>
        <w:tblW w:w="935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7245"/>
        <w:gridCol w:w="10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  <w:noWrap w:val="0"/>
            <w:vAlign w:val="top"/>
          </w:tcPr>
          <w:p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38" w:type="dxa"/>
            <w:noWrap w:val="0"/>
            <w:vAlign w:val="bottom"/>
          </w:tcPr>
          <w:p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eastAsia="Calibr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ru-RU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ru-RU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ℎ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grid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eqAr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ru-RU"/>
                      </w:rPr>
                      <m:t xml:space="preserve"> + </m:t>
                    </m:r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r>
                          <m:rPr/>
                          <w:rPr>
                            <w:rFonts w:hint="default" w:ascii="Cambria Math" w:hAnsi="Cambria Math"/>
                            <w:sz w:val="24"/>
                            <w:szCs w:val="24"/>
                            <w:lang w:val="en-US"/>
                          </w:rPr>
                          <m:t>Y−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  <m:ctrlPr>
                              <w:rPr>
                                <w:rFonts w:hint="default"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e>
                    </m:d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/>
                      </w:rPr>
                      <m:t xml:space="preserve">, 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d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1,N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acc>
              </m:oMath>
            </m:oMathPara>
          </w:p>
        </w:tc>
        <w:tc>
          <w:tcPr>
            <w:tcW w:w="1134" w:type="dxa"/>
            <w:noWrap w:val="0"/>
            <w:vAlign w:val="center"/>
          </w:tcPr>
          <w:p>
            <w:pPr>
              <w:spacing w:after="0" w:line="360" w:lineRule="auto"/>
              <w:jc w:val="righ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>
              <w:rPr>
                <w:rFonts w:hint="default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</w:tr>
    </w:tbl>
    <w:p>
      <w:pPr>
        <w:spacing w:line="360" w:lineRule="auto"/>
        <w:ind w:firstLine="284"/>
        <w:jc w:val="both"/>
      </w:pPr>
      <w:r>
        <w:rPr>
          <w:rFonts w:hint="default" w:ascii="Times New Roman" w:hAnsi="Times New Roman" w:eastAsia="Times New Roman" w:cs="Times New Roman"/>
          <w:i w:val="0"/>
          <w:sz w:val="24"/>
          <w:szCs w:val="24"/>
          <w:lang w:val="ru-RU" w:eastAsia="en-US"/>
        </w:rPr>
        <w:t>где связь</w:t>
      </w:r>
      <w:r>
        <w:rPr>
          <w:rFonts w:hint="default" w:hAnsi="Cambria Math" w:eastAsia="Times New Roman"/>
          <w:i w:val="0"/>
          <w:sz w:val="24"/>
          <w:szCs w:val="24"/>
          <w:lang w:val="ru-RU" w:eastAsia="en-US"/>
        </w:rPr>
        <w:t xml:space="preserve"> </w:t>
      </w:r>
      <m:oMath>
        <m:r>
          <m:rPr/>
          <w:rPr>
            <w:rFonts w:hint="default" w:ascii="Cambria Math" w:hAnsi="Cambria Math"/>
            <w:sz w:val="24"/>
            <w:szCs w:val="24"/>
            <w:lang w:val="en-US"/>
          </w:rPr>
          <m:t>D</m:t>
        </m:r>
      </m:oMath>
      <w:r>
        <w:rPr>
          <w:rFonts w:hint="default" w:hAnsi="Cambria Math"/>
          <w:i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4"/>
          <w:szCs w:val="24"/>
          <w:lang w:val="ru-RU"/>
        </w:rPr>
        <w:t xml:space="preserve">работает аналогично связи </w:t>
      </w:r>
      <m:oMath>
        <m:r>
          <m:rPr/>
          <w:rPr>
            <w:rFonts w:hint="default" w:ascii="Cambria Math" w:hAnsi="Cambria Math" w:cs="Times New Roman"/>
            <w:sz w:val="24"/>
            <w:szCs w:val="24"/>
            <w:lang w:val="ru-RU" w:eastAsia="en-US" w:bidi="ar-SA"/>
          </w:rPr>
          <m:t>d</m:t>
        </m:r>
      </m:oMath>
      <w:r>
        <w:rPr>
          <w:rFonts w:hint="default" w:ascii="Times New Roman" w:hAnsi="Cambria Math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ru-RU" w:eastAsia="en-US" w:bidi="ar-SA"/>
        </w:rPr>
        <w:t>но при сближении мобильного агента с агентом, движущимся согласно уравнению Ван-дер-Поля.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  <w:lang w:val="en-US" w:eastAsia="en-US" w:bidi="ar-SA"/>
        </w:rPr>
        <w:t xml:space="preserve"> </w:t>
      </w:r>
    </w:p>
    <w:p>
      <w:pPr>
        <w:spacing w:line="360" w:lineRule="auto"/>
        <w:ind w:firstLine="284"/>
        <w:jc w:val="center"/>
      </w:pPr>
      <w:r>
        <w:drawing>
          <wp:inline distT="0" distB="0" distL="114300" distR="114300">
            <wp:extent cx="2861945" cy="2742565"/>
            <wp:effectExtent l="0" t="0" r="3175" b="63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rcRect l="4043" t="11294" r="8920" b="538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2890" cy="2738755"/>
            <wp:effectExtent l="0" t="0" r="1270" b="4445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rcRect l="5476" t="10963" r="8513" b="5027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firstLine="284"/>
        <w:jc w:val="both"/>
        <w:rPr>
          <w:sz w:val="24"/>
          <w:szCs w:val="32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>4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.</w:t>
      </w:r>
      <w:r>
        <w:rPr>
          <w:rFonts w:hint="default"/>
          <w:sz w:val="24"/>
          <w:szCs w:val="32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32"/>
          <w:lang w:val="ru-RU"/>
        </w:rPr>
        <w:t xml:space="preserve"> Захват ансамбля агентом, заданным уравнением Ван-дер-Поля. Слева представлено состояние агентов непосредственно перед подключением нового агента. Справа - все агенты уже движутся за агентом, заданным уравнением Ван-дер-Поля.</w:t>
      </w:r>
    </w:p>
    <w:p>
      <w:pPr>
        <w:jc w:val="center"/>
      </w:pPr>
      <w:r>
        <w:drawing>
          <wp:inline distT="0" distB="0" distL="114300" distR="114300">
            <wp:extent cx="3519805" cy="3409950"/>
            <wp:effectExtent l="0" t="0" r="635" b="381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rcRect l="5690" t="11230" r="8299" b="545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cs="Times New Roman"/>
          <w:sz w:val="24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Рис.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instrText xml:space="preserve"> SEQ Изображение \* ARABIC </w:instrTex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t>5</w:t>
      </w:r>
      <w:r>
        <w:rPr>
          <w:rFonts w:hint="default" w:ascii="Times New Roman" w:hAnsi="Times New Roman" w:cs="Times New Roman"/>
          <w:b/>
          <w:bCs/>
          <w:sz w:val="24"/>
          <w:szCs w:val="32"/>
        </w:rPr>
        <w:fldChar w:fldCharType="end"/>
      </w:r>
      <w:r>
        <w:rPr>
          <w:rFonts w:hint="default" w:ascii="Times New Roman" w:hAnsi="Times New Roman" w:cs="Times New Roman"/>
          <w:b/>
          <w:bCs/>
          <w:sz w:val="24"/>
          <w:szCs w:val="32"/>
          <w:lang w:val="ru-RU"/>
        </w:rPr>
        <w:t>.</w:t>
      </w:r>
      <w:r>
        <w:rPr>
          <w:rFonts w:hint="default" w:ascii="Times New Roman" w:hAnsi="Times New Roman" w:cs="Times New Roman"/>
          <w:sz w:val="24"/>
          <w:szCs w:val="32"/>
          <w:lang w:val="ru-RU"/>
        </w:rPr>
        <w:t xml:space="preserve"> Все элементы движутся вблизи состояния равновесия. Агенты движутся 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Vander L.S. Freitas, Serhiy Yanchuk, Michael Zaks, Elbert E.N. Macau,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Synchronization-based symmetric circular formations of mobile agents and the generation of chaotic trajectories,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Communications in Nonlinear Science and Numerical Simulation,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94,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2021,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105543,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ISSN 1007-5704.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A. Barciś and C. Bettstetter, "Sandsbots: Robots That Sync and Swarm," in IEEE Access, vol. 8, pp. 218752-218764, 2020</w:t>
      </w:r>
      <w:r>
        <w:rPr>
          <w:rFonts w:hint="default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Ramírez-Ávila, G.M., Kurths, J., Depickère, S., Deneubourg, JL. (2019). Modeling Fireflies Synchronization. In: Macau, E. (eds) A Mathematical Modeling Approach from Nonlinear Dynamics to Complex Systems . Nonlinear Systems and Complexity, vol 22. Springer, Cham.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Louis M. Pecora, Thomas L. Carroll; Synchronization of chaotic systems. Chaos 1 September 2015; 25 (9): 097611.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Tongfeng Weng, Xiaolu Chen, Zhuoming Ren, Jin Xu, Huijie Yang, Multiple moving agents on complex networks: From intermittent synchronization to complete synchronization, Physica A: Statistical Mechanics and its Applications, Volume 614, 2023, 128562, ISSN 0378-4371.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Alex Arenas, Albert Díaz-Guilera, Jurgen Kurths, Yamir Moreno, Changsong Zhou, Synchronization in complex networks, Physics Reports, Volume 469, Issue 3, 2008, Pages 93-153, ISSN 0370-1573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Chen, L., Yang, Q., Li, C. et al. Controlling Dynamic Formations of Mobile Agents Governed by Euler-Lagrange Dynamics. Int. J. Control Autom. Syst. 19, 1740–1750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Emilda Shajan, Dibakar Ghosh, Jürgen Kurths, Manish Dev Shrimali; Direction-dependent noise-induced synchronization in mobile oscillators. Chaos 1 May 2023; 33 (5): 053108.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Xiang Ling, Wen-Bin Ju, Ning Guo, Chao-Yun Wu, Xiao-Ming Xu, Explosive synchronization in network of mobile oscillators, Physics Letters A, Volume 384, Issue 35, 2020, 126881, ISSN 0375-9601.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Freitas, V.L.S., Yanchuk, S., Grande, H.L.C. et al. The effects of time-delay and phase lags on symmetric circular formations of mobile agents. Eur. Phys. J. Spec. Top. 230, 2857–2864 (2021).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C. Hu, H. He and H. Jiang, "Edge-Based Adaptive Distributed Method for Synchronization of Intermittently Coupled Spatiotemporal Networks," in IEEE Transactions on Automatic Control, vol. 67, no. 5, pp. 2597-2604, May 2022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Soumen Majhi, Dibakar Ghosh, and Jürgen Kurths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Emergence of synchronization in multiplex networks of mobile Rössler oscillators  Phys. Rev. E 99, vol. 99, 4 January 2019, 012308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Jie Zhou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"https://orcid.org/0000-0002-0997-3496" \t "https://iopscience.iop.org/article/10.1088/1367-2630/ab9851/_blank"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Gaoxi Xiao and H Eugene Stanley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Control of mobile chaotic agents with jump-based connection adaption strategy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"https://iopscience.iop.org/journal/1367-2630"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New Journal of Physics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"https://iopscience.iop.org/volume/1367-2630/22"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Volume 22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, 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begin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instrText xml:space="preserve"> HYPERLINK "https://iopscience.iop.org/issue/1367-2630/22/7" </w:instrTex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separate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July 2020</w:t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fldChar w:fldCharType="end"/>
      </w: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S. N. Chowdhury, S. Majhi and D. Ghosh, "Distance Dependent Competitive Interactions in a Frustrated Network of Mobile Agents," in IEEE Transactions on Network Science and Engineering, vol. 7, no. 4, pp. 3159-3170, 1 Oct.-Dec. 2020.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/>
          <w:sz w:val="24"/>
          <w:szCs w:val="24"/>
          <w:lang w:val="ru-RU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ru-RU" w:eastAsia="zh-CN"/>
        </w:rPr>
        <w:t>Arturo Buscarino, Luigi Fortuna, Mattia Frasca, Salvatore Frisenna; Interaction between synchronization and motion in a system of mobile agents. Chaos 1 November 2016; 26 (11): 116302.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sz w:val="24"/>
          <w:szCs w:val="24"/>
          <w:lang w:val="ru-RU" w:eastAsia="zh-CN"/>
        </w:rPr>
        <w:t>F. Zhang, W. Chen and Y. Xi, "Motion Synchronization in Mobile Robot Networks: Robustness," 2006 IEEE/RSJ International Conference on Intelligent Robots and Systems, Beijing, China, 2006, pp. 5570-5575</w:t>
      </w:r>
      <w: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  <w:t>.</w:t>
      </w:r>
    </w:p>
    <w:p>
      <w:pPr>
        <w:numPr>
          <w:ilvl w:val="0"/>
          <w:numId w:val="4"/>
        </w:numPr>
        <w:spacing w:after="160" w:line="360" w:lineRule="auto"/>
        <w:ind w:left="425" w:leftChars="0" w:hanging="425" w:firstLineChars="0"/>
        <w:jc w:val="both"/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/>
          <w:sz w:val="24"/>
          <w:szCs w:val="24"/>
          <w:lang w:val="en-US" w:eastAsia="zh-CN"/>
        </w:rPr>
        <w:t>Liya Dou, Cheng Song, Xiaofan Wang, Lu Liu, Gang Feng, Target localization and enclosing control for networked mobile agents with bearing measurements, Automatica, Volume 118, 2020, 109022, ISSN 0005-1098.</w:t>
      </w:r>
    </w:p>
    <w:p>
      <w:pPr>
        <w:rPr>
          <w:rFonts w:hint="default" w:ascii="Times New Roman" w:hAnsi="Times New Roman" w:eastAsia="Calibri" w:cs="Times New Roman"/>
          <w:sz w:val="24"/>
          <w:szCs w:val="24"/>
          <w:lang w:val="en-US" w:eastAsia="zh-CN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DB516E"/>
    <w:multiLevelType w:val="singleLevel"/>
    <w:tmpl w:val="AEDB516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C3D9C67"/>
    <w:multiLevelType w:val="singleLevel"/>
    <w:tmpl w:val="EC3D9C6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0FEE82E7"/>
    <w:multiLevelType w:val="multilevel"/>
    <w:tmpl w:val="0FEE82E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3081CD4"/>
    <w:multiLevelType w:val="singleLevel"/>
    <w:tmpl w:val="63081CD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hyphenationZone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BF3"/>
    <w:rsid w:val="00015723"/>
    <w:rsid w:val="000171CA"/>
    <w:rsid w:val="000200B4"/>
    <w:rsid w:val="00030F4A"/>
    <w:rsid w:val="00037F1E"/>
    <w:rsid w:val="0004594F"/>
    <w:rsid w:val="00071B36"/>
    <w:rsid w:val="000A5681"/>
    <w:rsid w:val="000A7A97"/>
    <w:rsid w:val="000B7E13"/>
    <w:rsid w:val="000C2BA1"/>
    <w:rsid w:val="001336E8"/>
    <w:rsid w:val="00172866"/>
    <w:rsid w:val="001905E7"/>
    <w:rsid w:val="001A5B1F"/>
    <w:rsid w:val="001B790C"/>
    <w:rsid w:val="001B7A5E"/>
    <w:rsid w:val="001D11CD"/>
    <w:rsid w:val="001F0749"/>
    <w:rsid w:val="001F513C"/>
    <w:rsid w:val="001F7E06"/>
    <w:rsid w:val="00207444"/>
    <w:rsid w:val="00211075"/>
    <w:rsid w:val="00213856"/>
    <w:rsid w:val="00247BD9"/>
    <w:rsid w:val="002954B7"/>
    <w:rsid w:val="002A09CF"/>
    <w:rsid w:val="002E2B0D"/>
    <w:rsid w:val="002F2CE0"/>
    <w:rsid w:val="002F5EAD"/>
    <w:rsid w:val="00301648"/>
    <w:rsid w:val="003146C2"/>
    <w:rsid w:val="00363373"/>
    <w:rsid w:val="003736F3"/>
    <w:rsid w:val="003B3CDD"/>
    <w:rsid w:val="003B65D7"/>
    <w:rsid w:val="003E151B"/>
    <w:rsid w:val="003E6C0A"/>
    <w:rsid w:val="003F5705"/>
    <w:rsid w:val="00403803"/>
    <w:rsid w:val="004672D7"/>
    <w:rsid w:val="00474C25"/>
    <w:rsid w:val="00516030"/>
    <w:rsid w:val="005175BB"/>
    <w:rsid w:val="00585D50"/>
    <w:rsid w:val="00586040"/>
    <w:rsid w:val="005B501B"/>
    <w:rsid w:val="005B5EC9"/>
    <w:rsid w:val="005B6B30"/>
    <w:rsid w:val="005C11B6"/>
    <w:rsid w:val="005F5437"/>
    <w:rsid w:val="006602BE"/>
    <w:rsid w:val="006D2CC4"/>
    <w:rsid w:val="006F693A"/>
    <w:rsid w:val="00705360"/>
    <w:rsid w:val="0071110A"/>
    <w:rsid w:val="00721192"/>
    <w:rsid w:val="00736274"/>
    <w:rsid w:val="00737C7D"/>
    <w:rsid w:val="00737DB4"/>
    <w:rsid w:val="00776A51"/>
    <w:rsid w:val="007A2ED5"/>
    <w:rsid w:val="007A65CC"/>
    <w:rsid w:val="007D2799"/>
    <w:rsid w:val="007E7C65"/>
    <w:rsid w:val="00827BF3"/>
    <w:rsid w:val="00841B70"/>
    <w:rsid w:val="00846CAC"/>
    <w:rsid w:val="00866E59"/>
    <w:rsid w:val="008747A0"/>
    <w:rsid w:val="00887F23"/>
    <w:rsid w:val="008A7DC2"/>
    <w:rsid w:val="0090544B"/>
    <w:rsid w:val="00913C20"/>
    <w:rsid w:val="0091462E"/>
    <w:rsid w:val="00937E2B"/>
    <w:rsid w:val="009412E5"/>
    <w:rsid w:val="009A6E65"/>
    <w:rsid w:val="009B2AD7"/>
    <w:rsid w:val="009B3DB4"/>
    <w:rsid w:val="009C6D04"/>
    <w:rsid w:val="009E7767"/>
    <w:rsid w:val="009F6507"/>
    <w:rsid w:val="00A276F3"/>
    <w:rsid w:val="00A53B11"/>
    <w:rsid w:val="00A610AE"/>
    <w:rsid w:val="00A8769F"/>
    <w:rsid w:val="00A87B3C"/>
    <w:rsid w:val="00AA650F"/>
    <w:rsid w:val="00AD13E1"/>
    <w:rsid w:val="00AD4C08"/>
    <w:rsid w:val="00AD7A6A"/>
    <w:rsid w:val="00B07EF6"/>
    <w:rsid w:val="00B11906"/>
    <w:rsid w:val="00B12D96"/>
    <w:rsid w:val="00B32B5C"/>
    <w:rsid w:val="00B37A94"/>
    <w:rsid w:val="00B37B66"/>
    <w:rsid w:val="00B46D8D"/>
    <w:rsid w:val="00B50ED3"/>
    <w:rsid w:val="00B546AB"/>
    <w:rsid w:val="00B80452"/>
    <w:rsid w:val="00B84CD9"/>
    <w:rsid w:val="00B93A29"/>
    <w:rsid w:val="00BE4F0F"/>
    <w:rsid w:val="00BE5ED1"/>
    <w:rsid w:val="00C120F0"/>
    <w:rsid w:val="00C15520"/>
    <w:rsid w:val="00C21D78"/>
    <w:rsid w:val="00C27C3F"/>
    <w:rsid w:val="00C5756A"/>
    <w:rsid w:val="00C768E1"/>
    <w:rsid w:val="00C775F2"/>
    <w:rsid w:val="00C82711"/>
    <w:rsid w:val="00C8414E"/>
    <w:rsid w:val="00CE0393"/>
    <w:rsid w:val="00CE1C40"/>
    <w:rsid w:val="00CF3624"/>
    <w:rsid w:val="00D11790"/>
    <w:rsid w:val="00D31B9C"/>
    <w:rsid w:val="00D3612B"/>
    <w:rsid w:val="00D4167D"/>
    <w:rsid w:val="00D4270E"/>
    <w:rsid w:val="00D46496"/>
    <w:rsid w:val="00D61B81"/>
    <w:rsid w:val="00DB554A"/>
    <w:rsid w:val="00DD40F5"/>
    <w:rsid w:val="00E066CA"/>
    <w:rsid w:val="00E25E88"/>
    <w:rsid w:val="00E60D66"/>
    <w:rsid w:val="00EB3D8C"/>
    <w:rsid w:val="00ED3C33"/>
    <w:rsid w:val="00EF0E75"/>
    <w:rsid w:val="00F03F69"/>
    <w:rsid w:val="00F1681E"/>
    <w:rsid w:val="00F22852"/>
    <w:rsid w:val="00F357E3"/>
    <w:rsid w:val="00F85FA2"/>
    <w:rsid w:val="00F951FD"/>
    <w:rsid w:val="00FD3E57"/>
    <w:rsid w:val="00FE4537"/>
    <w:rsid w:val="10970CA8"/>
    <w:rsid w:val="16B258E2"/>
    <w:rsid w:val="29973A83"/>
    <w:rsid w:val="2A07061A"/>
    <w:rsid w:val="2ACF5473"/>
    <w:rsid w:val="3DAD4B25"/>
    <w:rsid w:val="4E5B3255"/>
    <w:rsid w:val="51A40414"/>
    <w:rsid w:val="577E2838"/>
    <w:rsid w:val="59F42FBC"/>
    <w:rsid w:val="6C3F1AD7"/>
    <w:rsid w:val="6E4B3442"/>
    <w:rsid w:val="73AB3E08"/>
    <w:rsid w:val="74A01178"/>
    <w:rsid w:val="77B729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3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page number"/>
    <w:qFormat/>
    <w:uiPriority w:val="0"/>
    <w:rPr>
      <w:rFonts w:ascii="Arial" w:hAnsi="Arial"/>
      <w:b/>
      <w:sz w:val="14"/>
    </w:rPr>
  </w:style>
  <w:style w:type="paragraph" w:styleId="8">
    <w:name w:val="Balloon Text"/>
    <w:basedOn w:val="1"/>
    <w:link w:val="1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paragraph" w:styleId="10">
    <w:name w:val="header"/>
    <w:basedOn w:val="1"/>
    <w:link w:val="1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Body Text"/>
    <w:basedOn w:val="1"/>
    <w:qFormat/>
    <w:uiPriority w:val="0"/>
    <w:pPr>
      <w:ind w:firstLine="340"/>
    </w:pPr>
  </w:style>
  <w:style w:type="paragraph" w:styleId="12">
    <w:name w:val="foot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laceholder Text"/>
    <w:basedOn w:val="4"/>
    <w:semiHidden/>
    <w:qFormat/>
    <w:uiPriority w:val="99"/>
    <w:rPr>
      <w:color w:val="808080"/>
    </w:rPr>
  </w:style>
  <w:style w:type="character" w:customStyle="1" w:styleId="15">
    <w:name w:val="Верхний колонтитул Знак"/>
    <w:basedOn w:val="4"/>
    <w:link w:val="10"/>
    <w:uiPriority w:val="99"/>
  </w:style>
  <w:style w:type="character" w:customStyle="1" w:styleId="16">
    <w:name w:val="Нижний колонтитул Знак"/>
    <w:basedOn w:val="4"/>
    <w:link w:val="12"/>
    <w:qFormat/>
    <w:uiPriority w:val="99"/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Текст выноски Знак"/>
    <w:basedOn w:val="4"/>
    <w:link w:val="8"/>
    <w:semiHidden/>
    <w:uiPriority w:val="99"/>
    <w:rPr>
      <w:rFonts w:ascii="Tahoma" w:hAnsi="Tahoma" w:cs="Tahoma"/>
      <w:sz w:val="16"/>
      <w:szCs w:val="16"/>
    </w:rPr>
  </w:style>
  <w:style w:type="paragraph" w:customStyle="1" w:styleId="19">
    <w:name w:val="Автор"/>
    <w:basedOn w:val="1"/>
    <w:next w:val="11"/>
    <w:qFormat/>
    <w:uiPriority w:val="0"/>
    <w:pPr>
      <w:keepNext/>
      <w:keepLines/>
      <w:widowControl w:val="0"/>
      <w:suppressAutoHyphens/>
      <w:spacing w:after="80"/>
      <w:jc w:val="center"/>
    </w:pPr>
    <w:rPr>
      <w:b/>
    </w:rPr>
  </w:style>
  <w:style w:type="paragraph" w:customStyle="1" w:styleId="20">
    <w:name w:val="Фирма"/>
    <w:basedOn w:val="1"/>
    <w:next w:val="11"/>
    <w:qFormat/>
    <w:uiPriority w:val="0"/>
    <w:pPr>
      <w:keepNext/>
      <w:spacing w:after="80"/>
      <w:jc w:val="center"/>
    </w:pPr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1442</Words>
  <Characters>8222</Characters>
  <Lines>68</Lines>
  <Paragraphs>19</Paragraphs>
  <TotalTime>461</TotalTime>
  <ScaleCrop>false</ScaleCrop>
  <LinksUpToDate>false</LinksUpToDate>
  <CharactersWithSpaces>9645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2015-09-16T06:59:00Z</dcterms:created>
  <dc:creator>Левин Вадим Александрович</dc:creator>
  <cp:lastModifiedBy>varva</cp:lastModifiedBy>
  <dcterms:modified xsi:type="dcterms:W3CDTF">2023-11-13T19:13:25Z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29CABE42A5C2462DBF7FBC7453FC8E88_13</vt:lpwstr>
  </property>
</Properties>
</file>