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Научно-образовательный математический центра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Математика технологий будущего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Нижегородск</w:t>
      </w:r>
      <w:r>
        <w:rPr>
          <w:sz w:val="24"/>
          <w:szCs w:val="24"/>
          <w:lang w:val="ru-RU"/>
        </w:rPr>
        <w:t>ого</w:t>
      </w:r>
      <w:r>
        <w:rPr>
          <w:sz w:val="24"/>
          <w:szCs w:val="24"/>
        </w:rPr>
        <w:t xml:space="preserve"> государственн</w:t>
      </w:r>
      <w:r>
        <w:rPr>
          <w:sz w:val="24"/>
          <w:szCs w:val="24"/>
          <w:lang w:val="ru-RU"/>
        </w:rPr>
        <w:t>ого</w:t>
      </w:r>
      <w:r>
        <w:rPr>
          <w:sz w:val="24"/>
          <w:szCs w:val="24"/>
        </w:rPr>
        <w:t xml:space="preserve"> университет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им. Н.И. Лобачевского, Нижний Новгород</w:t>
      </w:r>
    </w:p>
    <w:p>
      <w:pPr>
        <w:pStyle w:val="21"/>
        <w:jc w:val="center"/>
        <w:rPr>
          <w:rFonts w:hint="default"/>
          <w:i w:val="0"/>
          <w:iCs/>
          <w:sz w:val="24"/>
          <w:szCs w:val="24"/>
          <w:lang w:val="ru-RU"/>
        </w:rPr>
      </w:pPr>
      <w:r>
        <w:rPr>
          <w:rFonts w:hint="default"/>
          <w:i w:val="0"/>
          <w:iCs/>
          <w:sz w:val="24"/>
          <w:szCs w:val="24"/>
          <w:lang w:val="ru-RU"/>
        </w:rPr>
        <w:t>603022</w:t>
      </w:r>
      <w:bookmarkStart w:id="0" w:name="_GoBack"/>
      <w:bookmarkEnd w:id="0"/>
      <w:r>
        <w:rPr>
          <w:rFonts w:hint="default"/>
          <w:i w:val="0"/>
          <w:iCs/>
          <w:sz w:val="24"/>
          <w:szCs w:val="24"/>
          <w:lang w:val="ru-RU"/>
        </w:rPr>
        <w:t xml:space="preserve"> , </w:t>
      </w:r>
      <w:r>
        <w:rPr>
          <w:i w:val="0"/>
          <w:iCs/>
          <w:sz w:val="24"/>
          <w:szCs w:val="24"/>
          <w:lang w:val="en-US"/>
        </w:rPr>
        <w:t xml:space="preserve">E-mail: </w:t>
      </w:r>
      <w:r>
        <w:fldChar w:fldCharType="begin"/>
      </w:r>
      <w:r>
        <w:instrText xml:space="preserve"> HYPERLINK "mailto:varvarin262@gmail.com" </w:instrText>
      </w:r>
      <w:r>
        <w:fldChar w:fldCharType="separate"/>
      </w:r>
      <w:r>
        <w:rPr>
          <w:rStyle w:val="7"/>
          <w:i w:val="0"/>
          <w:iCs/>
          <w:sz w:val="24"/>
          <w:szCs w:val="24"/>
          <w:lang w:val="en-US"/>
        </w:rPr>
        <w:t>varvarin@</w:t>
      </w:r>
      <w:r>
        <w:rPr>
          <w:rStyle w:val="7"/>
          <w:rFonts w:hint="default"/>
          <w:i w:val="0"/>
          <w:iCs/>
          <w:sz w:val="24"/>
          <w:szCs w:val="24"/>
          <w:lang w:val="en-US"/>
        </w:rPr>
        <w:t>unn</w:t>
      </w:r>
      <w:r>
        <w:rPr>
          <w:rStyle w:val="7"/>
          <w:i w:val="0"/>
          <w:iCs/>
          <w:sz w:val="24"/>
          <w:szCs w:val="24"/>
          <w:lang w:val="en-US"/>
        </w:rPr>
        <w:t>.</w:t>
      </w:r>
      <w:r>
        <w:rPr>
          <w:rStyle w:val="7"/>
          <w:rFonts w:hint="default"/>
          <w:i w:val="0"/>
          <w:iCs/>
          <w:sz w:val="24"/>
          <w:szCs w:val="24"/>
          <w:lang w:val="en-US"/>
        </w:rPr>
        <w:t>r</w:t>
      </w:r>
      <w:r>
        <w:rPr>
          <w:rStyle w:val="7"/>
          <w:i w:val="0"/>
          <w:iCs/>
          <w:sz w:val="24"/>
          <w:szCs w:val="24"/>
          <w:lang w:val="en-US"/>
        </w:rPr>
        <w:fldChar w:fldCharType="end"/>
      </w:r>
      <w:r>
        <w:rPr>
          <w:rStyle w:val="7"/>
          <w:rFonts w:hint="default"/>
          <w:i w:val="0"/>
          <w:iCs/>
          <w:sz w:val="24"/>
          <w:szCs w:val="24"/>
          <w:lang w:val="en-US"/>
        </w:rPr>
        <w:t>u</w:t>
      </w:r>
    </w:p>
    <w:p>
      <w:pPr>
        <w:spacing w:line="360" w:lineRule="auto"/>
        <w:ind w:left="1134"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В данной статье предлагаются способы реализации последовательного, параллельного и в виде заданной конфигурации ансамбля с использованием эффекта хаотической фазовой синхронизации. Показывается возможность управления движением ансамбля и определены условия надежности полученных структур.</w:t>
      </w:r>
    </w:p>
    <w:p>
      <w:pPr>
        <w:spacing w:line="360" w:lineRule="auto"/>
        <w:ind w:firstLine="284"/>
        <w:jc w:val="both"/>
        <w:rPr>
          <w:rFonts w:hint="default" w:eastAsia="Calibri"/>
          <w:sz w:val="24"/>
          <w:szCs w:val="24"/>
          <w:lang w:val="en-US" w:eastAsia="ru-RU"/>
        </w:rPr>
      </w:pPr>
      <w:r>
        <w:rPr>
          <w:rFonts w:eastAsia="Calibri"/>
          <w:sz w:val="24"/>
          <w:szCs w:val="24"/>
          <w:lang w:eastAsia="ru-RU"/>
        </w:rPr>
        <w:t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[1-4]. Главным объектом большинства исследований в области коллективной динамики является синхронизация [5, 6], которая, в свою очередь, сильно зависит от топологии связей ансамбля [7, 8]. Довольно популярной у исследователей является топология связи “каждый с каждым” [9, 10],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[11]. Системы, в которых помимо силы связи может изменяться и положение узлов, удобно рассматривать как ансамбль мобильных агентов [12-15]. Таким образом удалось рассмотреть: синхронизацию мобильных роботов [16], локализацию объектов распределённой следящей системой [17] и другие работы.</w:t>
      </w:r>
      <w:r>
        <w:rPr>
          <w:rFonts w:hint="default" w:eastAsia="Calibri"/>
          <w:sz w:val="24"/>
          <w:szCs w:val="24"/>
          <w:lang w:val="en-US" w:eastAsia="ru-RU"/>
        </w:rPr>
        <w:t xml:space="preserve"> В работе [18] </w:t>
      </w:r>
      <w:r>
        <w:rPr>
          <w:rFonts w:hint="default" w:eastAsia="Calibri"/>
          <w:sz w:val="24"/>
          <w:szCs w:val="24"/>
          <w:lang w:val="ru-RU" w:eastAsia="ru-RU"/>
        </w:rPr>
        <w:t>представлены</w:t>
      </w:r>
      <w:r>
        <w:rPr>
          <w:rFonts w:hint="default" w:eastAsia="Calibri"/>
          <w:sz w:val="24"/>
          <w:szCs w:val="24"/>
          <w:lang w:val="en-US" w:eastAsia="ru-RU"/>
        </w:rPr>
        <w:t xml:space="preserve"> результаты управления поведением ансамбля мобильных агентов на плоскости.</w:t>
      </w:r>
    </w:p>
    <w:p>
      <w:pPr>
        <w:spacing w:line="360" w:lineRule="auto"/>
        <w:ind w:firstLine="284"/>
        <w:jc w:val="both"/>
        <w:rPr>
          <w:rFonts w:hAnsi="Cambria Math"/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мобильного агента рассмотрим точку, движущуюся в трёхмерном пространстве </w:t>
      </w:r>
      <m:oMath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x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y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z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так, что её траектория полностью совпадает с траекторией соответствующего ей хаотического осциллятора. В данной работе, не теряя общности, рассмотрим осциллятор Рёсслера (1)</w:t>
      </w:r>
      <w:r>
        <w:rPr>
          <w:rFonts w:eastAsia="Calibri"/>
          <w:sz w:val="24"/>
          <w:szCs w:val="24"/>
          <w:lang w:val="en-US"/>
        </w:rPr>
        <w:t>.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rFonts w:hAnsi="Cambria Math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положительные параметры. В последующих экспериментах примем: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0.2, </m:t>
        </m:r>
        <m:r>
          <m:rPr/>
          <w:rPr>
            <w:rFonts w:ascii="Cambria Math" w:hAnsi="Cambria Math"/>
            <w:sz w:val="24"/>
            <w:szCs w:val="24"/>
            <w:lang w:val="en-US"/>
          </w:rPr>
          <m:t>r</m:t>
        </m:r>
        <m:r>
          <m:rPr/>
          <w:rPr>
            <w:rFonts w:ascii="Cambria Math" w:hAnsi="Cambria Math"/>
            <w:sz w:val="24"/>
            <w:szCs w:val="24"/>
          </w:rPr>
          <m:t xml:space="preserve"> = 4,</m:t>
        </m:r>
      </m:oMath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0.22,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0.1,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8.5,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>∈[0.93, 1.07]</m:t>
        </m:r>
      </m:oMath>
      <w:r>
        <w:rPr>
          <w:rFonts w:hAnsi="Cambria Math" w:eastAsia="Times New Roman"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Организацию управления движением ансамбля мобильных агентов в пространстве можно разбить на два этапа: </w:t>
      </w: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Установление конфигурации агентов.</w:t>
      </w: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Выведение агентов на траекторию движения.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поставленных задач мы использовали методы: хаотической фазовой синхронизации (для задания агентам определённой конфигурации) и вынужденной синхронизацией</w:t>
      </w:r>
    </w:p>
    <w:p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Целью нашего исследования является создание агентов, которые начинают взаимодействие с соседними элементами только при достаточной близости, поэтому при любой конфигурации связь между агентами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и</w:t>
      </w:r>
      <w:r>
        <w:rPr>
          <w:rFonts w:hAnsi="Cambria Math"/>
          <w:iCs/>
          <w:sz w:val="24"/>
          <w:szCs w:val="24"/>
        </w:rPr>
        <w:t xml:space="preserve"> </w:t>
      </w:r>
      <w:r>
        <w:rPr>
          <w:rFonts w:hAnsi="Cambria Math"/>
          <w:i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будет удовлетворять условию (2)</w:t>
      </w:r>
      <w:r>
        <w:rPr>
          <w:sz w:val="24"/>
          <w:szCs w:val="24"/>
          <w:lang w:val="en-US"/>
        </w:rPr>
        <w:t>:</w:t>
      </w:r>
    </w:p>
    <w:tbl>
      <w:tblPr>
        <w:tblStyle w:val="5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7231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Calibri"/>
                    <w:sz w:val="24"/>
                    <w:szCs w:val="24"/>
                    <w:lang w:val="en-US"/>
                  </w:rPr>
                  <m:t>d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 противном случае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(2)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iCs/>
          <w:sz w:val="24"/>
          <w:szCs w:val="24"/>
        </w:rPr>
        <w:t xml:space="preserve"> — параметр связи в нашем исследовании.</w:t>
      </w:r>
    </w:p>
    <w:p>
      <w:pPr>
        <w:pStyle w:val="3"/>
      </w:pPr>
      <w:r>
        <w:t>Реализованные конфигурации движения роя мобильных агентов.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Последовательное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Добавим в систему (1) «притягивающую» связь по координате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Результаты численных экспериментов представлены на (Рис. 1).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Параллельное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подобного движения помимо «притягивающей» связи из предыдущего пункта, необходимо добавить «отталкивающую» связь по координате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>
        <w:rPr>
          <w:iCs/>
          <w:sz w:val="24"/>
          <w:szCs w:val="24"/>
        </w:rPr>
        <w:t>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−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При сближении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iCs/>
          <w:sz w:val="24"/>
          <w:szCs w:val="24"/>
        </w:rPr>
        <w:t xml:space="preserve">-го 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j</m:t>
        </m:r>
      </m:oMath>
      <w:r>
        <w:rPr>
          <w:iCs/>
          <w:sz w:val="24"/>
          <w:szCs w:val="24"/>
        </w:rPr>
        <w:t>-го агентов данная связь обеспечит противоположно направленные силы, что приведёт агентов к отталкиванию. Поведение элементов при данной связи проиллюстрировано на (Рис. 2).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Придание рою мобильных агентов структуры различных геометрических форм.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разделе мы использовали определённые комбинации связей последовательного и параллельного движения для получения структур различной геометрической формы (прямоугольник, круг, треугольник и др.) Не теряя общности, рассмотрим конфигурацию типа «прямоугольник».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организации подобного движения введём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 </w:t>
      </w:r>
      <w:r>
        <w:rPr>
          <w:iCs/>
          <w:sz w:val="24"/>
          <w:szCs w:val="24"/>
        </w:rPr>
        <w:t>— число элементов в одной строке и одном столбце соответственно. Тогда для каждой отдельной строки нам нужно добавить «отталкивающую» связь. В то же время нам нужно связать строку с соседними строками «притягивающей» связью: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 s(i)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s(i)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 xml:space="preserve"> −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=max(0; s(i) 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min(N; s(i) +2∙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1,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acc>
      </m:oMath>
      <w:r>
        <w:rPr>
          <w:rFonts w:hAnsi="Cambria Math"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Ansi="Cambria Math"/>
          <w:iCs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s</m:t>
        </m:r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−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/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) + 1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>—</w:t>
      </w:r>
      <w:r>
        <w:rPr>
          <w:rFonts w:hAnsi="Cambria Math"/>
          <w:iCs/>
          <w:sz w:val="24"/>
          <w:szCs w:val="24"/>
        </w:rPr>
        <w:t xml:space="preserve"> первый элемент текущей строки для элемента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rFonts w:hAnsi="Cambria Math"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mod</m:t>
        </m:r>
        <m:r>
          <m:rPr/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iCs/>
          <w:sz w:val="24"/>
          <w:szCs w:val="24"/>
        </w:rPr>
        <w:t>—</w:t>
      </w:r>
      <w:r>
        <w:rPr>
          <w:rFonts w:hAnsi="Cambria Math"/>
          <w:sz w:val="24"/>
          <w:szCs w:val="24"/>
        </w:rPr>
        <w:t xml:space="preserve"> остаток от деления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rFonts w:hAnsi="Cambria Math"/>
          <w:iCs/>
          <w:sz w:val="24"/>
          <w:szCs w:val="24"/>
        </w:rPr>
        <w:t>Результаты численного моделирования приведены на (Рис. 4).</w:t>
      </w:r>
    </w:p>
    <w:p>
      <w:pPr>
        <w:pStyle w:val="3"/>
      </w:pPr>
      <w:r>
        <w:t>Анализ влияния нарушения межэлементных связей.</w:t>
      </w:r>
    </w:p>
    <w:p>
      <w:pPr>
        <w:spacing w:line="360" w:lineRule="auto"/>
        <w:ind w:firstLine="284"/>
        <w:jc w:val="both"/>
      </w:pPr>
      <w:r>
        <w:rPr>
          <w:iCs/>
          <w:sz w:val="24"/>
          <w:szCs w:val="24"/>
        </w:rPr>
        <w:t>В данном эксперименте мы экспериментально рассматриваем зависимости структурной устойчивости ансамбля при удалении из него части агентов.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центра роя.</w:t>
      </w:r>
    </w:p>
    <w:p>
      <w:p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Путём численных экспериментов было обнаружено, что при любой структуре роя существует критическое значение числа удалённых агентов, при котором структура разбивается на несколько кластеров (Таблица 1).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случайных позиций.</w:t>
      </w:r>
    </w:p>
    <w:p>
      <w:p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эксперименте элементы удаляются из случайных позиций. Теперь количество объединённых групп агентов зависит не только от числа удалённых элементов, но и от их позиций. Не трудно увидеть по системе (5), что при удалении целой строки агентов глобальная связь ансамбля теряется и рой разобьётся как минимум на две части - до и после удалённой строки. Результаты представлены в (Таблица 2).</w:t>
      </w:r>
    </w:p>
    <w:p>
      <w:pPr>
        <w:pStyle w:val="3"/>
        <w:rPr>
          <w:rFonts w:cs="Times New Roman"/>
          <w:iCs/>
          <w:sz w:val="24"/>
          <w:szCs w:val="24"/>
        </w:rPr>
      </w:pPr>
      <w:r>
        <w:t>Управление роем.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задачу деактивацию всех агентов и перемещение их в начало координат. Для этого помимо агентов, заданных системой (1), вводится ещё  один агент, который движется по заданной траектории. В качестве такого агента возьмём осциллятор Ван-дер-Поля</w:t>
      </w:r>
      <w:r>
        <w:rPr>
          <w:iCs/>
          <w:sz w:val="24"/>
          <w:szCs w:val="24"/>
          <w:lang w:val="en-US"/>
        </w:rPr>
        <w:t>:</w:t>
      </w:r>
    </w:p>
    <w:tbl>
      <w:tblPr>
        <w:tblStyle w:val="5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74"/>
        <w:gridCol w:w="802"/>
      </w:tblGrid>
      <w:tr>
        <w:tc>
          <w:tcPr>
            <w:tcW w:w="1080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74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  <w:lang w:val="en-US"/>
                          </w:rPr>
                          <m:t>=−Y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=WX+μ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1−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2" w:type="dxa"/>
            <w:vAlign w:val="center"/>
          </w:tcPr>
          <w:p>
            <w:pPr>
              <w:spacing w:after="0" w:line="36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- малый параметр,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W = 1</m:t>
        </m:r>
      </m:oMath>
      <w:r>
        <w:rPr>
          <w:rFonts w:hAnsi="Cambria Math" w:eastAsia="Times New Roman"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остальных агентов возьмём уравнение (5) и добавим всем элементам связь с уравнением Ван-дер-Поля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где связь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D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аналогично связи 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Ansi="Cambria Math"/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но при сближении мобильного агента с агентом, движущимся согласно уравнению Ван-дер-Поля.</w:t>
      </w:r>
      <w:r>
        <w:rPr>
          <w:iCs/>
          <w:sz w:val="24"/>
          <w:szCs w:val="24"/>
          <w:lang w:val="en-US"/>
        </w:rPr>
        <w:t xml:space="preserve"> 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Параметр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подобран таким образом, чтобы в начале координат был устойчивый фокус. (Рис. 4).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В результате исследования управления коллективной динамикой роя мобильных хаотических агентов на основе осциллятора Рёсслера, получилось синхронизировать ансамбль в трёхмерном пространстве с помощью различных связей, удалось на основе этих связей объединить ансамбль агентов в более сложную пространственную структуру, было рассмотрено влияние нарушения межэлементных связей на полученную структуру. Также при помощи </w:t>
      </w:r>
      <w:r>
        <w:rPr>
          <w:rFonts w:eastAsia="Times New Roman"/>
          <w:sz w:val="24"/>
          <w:szCs w:val="24"/>
        </w:rPr>
        <w:t>«внешнего» агента получилось остановить рой в окрестности начала координат. Такой способ позволит эффективно деактивировать ансамбль агентов при необходимости.</w:t>
      </w:r>
    </w:p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Работа</w:t>
      </w:r>
      <w:r>
        <w:rPr>
          <w:rFonts w:hint="default" w:eastAsia="Times New Roman"/>
          <w:sz w:val="24"/>
          <w:szCs w:val="24"/>
          <w:lang w:val="ru-RU"/>
        </w:rPr>
        <w:t xml:space="preserve"> выполнена при финансовой поддержке </w:t>
      </w:r>
      <w:r>
        <w:rPr>
          <w:iCs/>
          <w:sz w:val="24"/>
          <w:szCs w:val="24"/>
        </w:rPr>
        <w:t>грант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РНФ #23-12-00180</w:t>
      </w:r>
      <w:r>
        <w:rPr>
          <w:rFonts w:hint="default"/>
          <w:iCs/>
          <w:sz w:val="24"/>
          <w:szCs w:val="24"/>
          <w:lang w:val="ru-RU"/>
        </w:rPr>
        <w:t xml:space="preserve"> (задача синхронизации) и проекта </w:t>
      </w:r>
      <w:r>
        <w:rPr>
          <w:iCs/>
          <w:sz w:val="24"/>
          <w:szCs w:val="24"/>
        </w:rPr>
        <w:t>№ 0729-2020-0036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Министерств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науки и высшего образования Российской Федерации</w:t>
      </w:r>
      <w:r>
        <w:rPr>
          <w:rFonts w:hint="default"/>
          <w:iCs/>
          <w:sz w:val="24"/>
          <w:szCs w:val="24"/>
          <w:lang w:val="ru-RU"/>
        </w:rPr>
        <w:t xml:space="preserve"> (задача управления).</w:t>
      </w:r>
    </w:p>
    <w:p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br w:type="page"/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V. L.S. Freitas, S. Yanchuk, M. Zaks, Elbert E.N. Macau, Synchronization-based symmetric circular formations of mobile agents and the generation of chaotic trajectories, Communications in Nonlinear Science and Numerical Simulation, vol. 94 (2021), 105543, ISSN 1007-5704. DOI: 10.1016/j.cnsns.2020.105543.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A. Barciś, C. Bettstetter, "Sandsbots: Robots That Sync and Swarm," in IEEE Access, vol. 8, pp. 218752-218764 (2020). DOI: 10.1109/ACCESS.2020.3041393.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Ramírez-Ávila, G.M., Kurths, J., Depickère, S., Deneubourg, JL, Modeling Fireflies Synchronization. In: Macau, E. (eds) A Mathematical Modeling Approach from Nonlinear Dynamics to Complex Systems. Nonlinear Systems and Complexity, vol. 22. Springer, Cham (2019). DOI: 10.1007/978-3-319-78512-7_8.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L. M. Pecora, T. L. Carroll; Synchronization of chaotic systems.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2015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25 (9): 097611. DOI: 10.1103/PhysRevE.99.042203.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T. Weng, X. Chen, et al. Multiple moving agents on complex networks: From intermittent synchronization to complete synchronization, Physica A: Statistical Mechanics and its Applications, vol. 614, 2023, 128562, ISSN 0378-4371. DOI: 10.1016/j.physa.2023.128562.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 xml:space="preserve">A. Arenas, A. Díaz-Guilera, et al. Synchronization in complex networks, Physics Reports, vol. 469, Issue 3,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2008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 xml:space="preserve">, </w:t>
      </w:r>
      <w:r>
        <w:rPr>
          <w:rFonts w:hint="default" w:eastAsia="Calibri"/>
          <w:sz w:val="24"/>
          <w:szCs w:val="24"/>
          <w:lang w:val="en-US" w:eastAsia="zh-CN"/>
        </w:rPr>
        <w:t xml:space="preserve">pp </w:t>
      </w:r>
      <w:r>
        <w:rPr>
          <w:rFonts w:eastAsia="Calibri"/>
          <w:sz w:val="24"/>
          <w:szCs w:val="24"/>
          <w:lang w:val="en-US" w:eastAsia="zh-CN"/>
        </w:rPr>
        <w:t>93-153, ISSN 0370-1573. DOI: 10.1016/j.physrep.2008.09.002.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Chen, L., Yang, Q., Li, C. et al. Controlling Dynamic Formations of Mobile Agents Governed by Euler-Lagrange Dynamics. Int. J. Control Autom. Syst. 19, 1740–1750 (2021). DOI: 10.1007/s12555-020-0274-3.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E. Shajan, D. Ghosh, et al. Direction-dependent noise-induced synchronization in mobile oscillators.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2023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33 (5): 053108. DOI: 10.1063/5.0146983.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 xml:space="preserve">X. Ling, W. B. Ju, N. Guo, et al. Explosive synchronization in network of mobile oscillators, Physics Letters A, Volume 384, Issue 35,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2020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, 126881, ISSN 0375-9601. DOI: 10.1016/j.physleta.2020.126881.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eastAsia="zh-CN"/>
        </w:rPr>
      </w:pPr>
      <w:r>
        <w:rPr>
          <w:rFonts w:eastAsia="Calibri"/>
          <w:sz w:val="24"/>
          <w:szCs w:val="24"/>
          <w:lang w:val="en-US" w:eastAsia="zh-CN"/>
        </w:rPr>
        <w:t>V.L.S. Freitas, S. Yanchuk, H.L.C. Grande, et al. The effects of time-delay and phase lags on symmetric circular formations of mobile agents. Eur. Phys. J. Spec. Top. 230, 2857–2864 (2021). DOI: 10.1140/epjs/s11734-021-00153-6.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C. Hu, H. He, H. Jiang, Edge-Based Adaptive Distributed Method for Synchronization of Intermittently Coupled Spatiotemporal Networks, in IEEE Transactions on Automatic Control, vol. 67, no. 5, pp. 2597-2604. DOI: 10.1109/TAC.2021.3088805.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S. Majhi, D. Ghosh, and J. Kurths, Emergence of synchronization in multiplex networks of mobile Rössler oscillators, Phys. Rev. E 99, vol. 99, 4 January 2019, 012308. DOI: 10.1103/PhysRevE.99.012308.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J. Zhou </w:t>
      </w:r>
      <w:r>
        <w:fldChar w:fldCharType="begin"/>
      </w:r>
      <w:r>
        <w:instrText xml:space="preserve"> HYPERLINK "https://orcid.org/0000-0002-0997-3496" \t "https://iopscience.iop.org/article/10.1088/1367-2630/ab9851/_blank" </w:instrText>
      </w:r>
      <w:r>
        <w:fldChar w:fldCharType="separate"/>
      </w:r>
      <w:r>
        <w:fldChar w:fldCharType="end"/>
      </w:r>
      <w:r>
        <w:rPr>
          <w:rFonts w:eastAsia="Calibri"/>
          <w:sz w:val="24"/>
          <w:szCs w:val="24"/>
          <w:lang w:val="en-US" w:eastAsia="zh-CN"/>
        </w:rPr>
        <w:t xml:space="preserve">, G. Xiao, H Eugene, Stanley Control of mobile chaotic agents with jump-based connection adaption strategy  </w:t>
      </w:r>
      <w:r>
        <w:fldChar w:fldCharType="begin"/>
      </w:r>
      <w:r>
        <w:instrText xml:space="preserve"> HYPERLINK "https://iopscience.iop.org/journal/1367-2630"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New Journal of Physics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"https://iopscience.iop.org/volume/1367-2630/22"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 xml:space="preserve"> vol. 22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"https://iopscience.iop.org/issue/1367-2630/22/7"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July 2020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. DOI: 10.1088/1367-2630/ab9851.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S. N. Chowdhury, S. Majhi and D. Ghosh, "Distance Dependent Competitive Interactions in a Frustrated Network of Mobile Agents," in IEEE Transactions on Network Science and Engineering, vol. 7, no. 4, pp. 3159-3170, 1 Oct.-Dec. 2020. DOI: 10.1109/TNSE.2020.3017495.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eastAsia="zh-CN"/>
        </w:rPr>
      </w:pPr>
      <w:r>
        <w:rPr>
          <w:rFonts w:eastAsia="Calibri"/>
          <w:sz w:val="24"/>
          <w:szCs w:val="24"/>
          <w:lang w:val="en-US" w:eastAsia="zh-CN"/>
        </w:rPr>
        <w:t>A. Buscarino, L. Fortuna, M. Frasca, S. Frisenna, Interaction between synchronization and motion in a system of mobile agents. Chaos 1 November 2016; 26 (11): 116302. DOI: 10.1063/1.4965033.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F. Zhang, W. Chen and Y. Xi, Motion Synchronization in Mobile Robot Networks: Robustness, 2006 IEEE/RSJ International Conference on Intelligent Robots and Systems, Beijing, China, 2006, pp. 5570-5575. DOI: 10.1109/IROS.2006.282274.</w:t>
      </w:r>
    </w:p>
    <w:p>
      <w:pPr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eastAsia="Calibri"/>
          <w:sz w:val="24"/>
          <w:szCs w:val="24"/>
          <w:lang w:val="en-US" w:eastAsia="zh-CN"/>
        </w:rPr>
        <w:t>L. Dou, C. Song, X. Wang, et al. Target localization and enclosing control for networked mobile agents with bearing measurements, Automatica, vol. 118, 2020, 109022, ISSN 0005-1098. DOI: 10.1016/j.automatica.2020.109022.</w:t>
      </w:r>
    </w:p>
    <w:p>
      <w:pPr>
        <w:rPr>
          <w:rFonts w:eastAsia="Times New Roman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 w:eastAsia="zh-CN"/>
        </w:rPr>
        <w:br w:type="page"/>
      </w:r>
    </w:p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50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5" w:hRule="atLeast"/>
        </w:trPr>
        <w:tc>
          <w:tcPr>
            <w:tcW w:w="4536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4536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2955290" cy="2832735"/>
                  <wp:effectExtent l="0" t="0" r="16510" b="5715"/>
                  <wp:docPr id="2" name="Изображение 2" descr="полная синхрониз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полная синхронизаци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083" t="11061" r="8800" b="5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</w:tr>
    </w:tbl>
    <w:p>
      <w:pPr>
        <w:pStyle w:val="10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instrText xml:space="preserve"> SEQ Изображение \* ARABIC </w:instrTex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Последовательное движение агентов. (а) - кластерная синхронизация роя, (б) - последующая глобальная синхронизация.</w:t>
      </w:r>
    </w:p>
    <w:p>
      <w:pPr>
        <w:spacing w:after="0" w:line="240" w:lineRule="auto"/>
      </w:pPr>
      <w:r>
        <w:br w:type="page"/>
      </w:r>
    </w:p>
    <w:p>
      <w:pPr>
        <w:spacing w:after="0" w:line="240" w:lineRule="auto"/>
        <w:rPr>
          <w:rFonts w:eastAsia="Times New Roman"/>
          <w:sz w:val="24"/>
          <w:szCs w:val="24"/>
        </w:rPr>
      </w:pPr>
    </w:p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3"/>
        <w:gridCol w:w="4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5" w:hRule="atLeast"/>
        </w:trPr>
        <w:tc>
          <w:tcPr>
            <w:tcW w:w="4536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2927350" cy="2862580"/>
                  <wp:effectExtent l="0" t="0" r="6350" b="13970"/>
                  <wp:docPr id="18" name="Изображение 18" descr="частичная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 18" descr="частичная (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570" t="11108" r="9066" b="5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86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4536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</w:tr>
    </w:tbl>
    <w:p>
      <w:pPr>
        <w:pStyle w:val="10"/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SEQ Изображение \* ARABIC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Параллельное движение роя агентов. (а) - движение в кластерах, (б) - последующая полная синхронизация.</w:t>
      </w:r>
    </w:p>
    <w:p>
      <w:pPr>
        <w:pStyle w:val="12"/>
        <w:rPr>
          <w:rFonts w:eastAsia="SimHei"/>
        </w:rPr>
      </w:pPr>
      <w: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7"/>
        <w:gridCol w:w="4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5" w:hRule="atLeast"/>
        </w:trPr>
        <w:tc>
          <w:tcPr>
            <w:tcW w:w="4536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Ansi="Cambria Math"/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2907665" cy="2769235"/>
                  <wp:effectExtent l="0" t="0" r="6985" b="12065"/>
                  <wp:docPr id="22" name="Изображение 22" descr="сетка кластеры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 22" descr="сетка кластеры (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3817" t="11257" r="8724" b="5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665" cy="276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4536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Ansi="Cambria Math"/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2834640" cy="2767965"/>
                  <wp:effectExtent l="0" t="0" r="3810" b="13335"/>
                  <wp:docPr id="23" name="Изображение 23" descr="сетка пол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 23" descr="сетка полная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912" t="11268" r="8927" b="5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</w:tr>
    </w:tbl>
    <w:p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SEQ Изображение \* ARABIC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Придание рою структуры квадрата. (а) - агенты объединились в группы. (б) - агенты объединились в одну группу.</w:t>
      </w:r>
    </w:p>
    <w:p>
      <w:pPr>
        <w:pStyle w:val="12"/>
        <w:rPr>
          <w:rFonts w:eastAsia="SimHei"/>
        </w:rPr>
      </w:pPr>
      <w: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160"/>
        <w:gridCol w:w="32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40560" cy="1860550"/>
                  <wp:effectExtent l="0" t="0" r="2540" b="6350"/>
                  <wp:docPr id="8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4043" t="11294" r="8920" b="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893570" cy="1851025"/>
                  <wp:effectExtent l="0" t="0" r="11430" b="15875"/>
                  <wp:docPr id="9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476" t="10963" r="8513" b="50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25320" cy="1865630"/>
                  <wp:effectExtent l="0" t="0" r="17780" b="1270"/>
                  <wp:docPr id="10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5690" t="11230" r="8299" b="5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32"/>
        </w:rPr>
        <w:instrText xml:space="preserve"> SEQ Изображение \* ARABIC </w:instrText>
      </w:r>
      <w:r>
        <w:rPr>
          <w:rFonts w:ascii="Times New Roman" w:hAnsi="Times New Roman" w:cs="Times New Roman"/>
          <w:b/>
          <w:bCs/>
          <w:sz w:val="24"/>
          <w:szCs w:val="32"/>
        </w:rPr>
        <w:fldChar w:fldCharType="separate"/>
      </w:r>
      <w:r>
        <w:rPr>
          <w:rFonts w:ascii="Times New Roman" w:hAnsi="Times New Roman" w:cs="Times New Roman"/>
          <w:b/>
          <w:bCs/>
          <w:sz w:val="24"/>
          <w:szCs w:val="32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Захват ансамбля агентом, заданным уравнением Ван-дер-Поля. (а) - состояние роя до добавления нового агента. (б) - новый элемент начал притягивать всех агентов. (в) - рой движется по траектории фокуса к состоянию равновесия агента, заданного уравнением Ван-дер-Поля. Значение параметра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μ</m:t>
        </m:r>
        <m:r>
          <m:rPr/>
          <w:rPr>
            <w:rFonts w:ascii="Cambria Math" w:hAnsi="Cambria Math" w:cs="Times New Roman"/>
            <w:sz w:val="24"/>
            <w:szCs w:val="32"/>
            <w:lang w:val="en-US"/>
          </w:rPr>
          <m:t>=0.2</m:t>
        </m:r>
      </m:oMath>
      <w:r>
        <w:rPr>
          <w:rFonts w:hAnsi="Cambria Math" w:cs="Times New Roman"/>
          <w:iCs/>
          <w:sz w:val="24"/>
          <w:szCs w:val="32"/>
          <w:lang w:val="en-US"/>
        </w:rPr>
        <w:t>.</w:t>
      </w:r>
    </w:p>
    <w:p>
      <w:pPr>
        <w:spacing w:after="0" w:line="240" w:lineRule="auto"/>
      </w:pPr>
      <w:r>
        <w:br w:type="page"/>
      </w:r>
    </w:p>
    <w:p>
      <w:pPr>
        <w:pStyle w:val="10"/>
        <w:keepNext/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Численные результаты числа кластеров от числа удалённых элементов из ансамбля, имеющего структуру квадрата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 элементов. Все элементы удалялись из центра структуры.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648"/>
        <w:gridCol w:w="649"/>
        <w:gridCol w:w="664"/>
        <w:gridCol w:w="664"/>
        <w:gridCol w:w="664"/>
        <w:gridCol w:w="664"/>
        <w:gridCol w:w="665"/>
        <w:gridCol w:w="666"/>
        <w:gridCol w:w="1067"/>
        <w:gridCol w:w="1370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16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24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32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36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44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52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60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2 и 2 уединён-ных элемента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3 и 1 уединённый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 xml:space="preserve">4 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Численные результаты числа кластеров от числа удалённых элементов из ансамбля, имеющего структуру квадрата 10x10 элементов. Элементы удалялись случайно.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9"/>
        <w:gridCol w:w="709"/>
        <w:gridCol w:w="709"/>
        <w:gridCol w:w="709"/>
        <w:gridCol w:w="709"/>
        <w:gridCol w:w="709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</w:tr>
    </w:tbl>
    <w:p>
      <w:pPr>
        <w:rPr>
          <w:rFonts w:eastAsia="Calibri"/>
          <w:sz w:val="24"/>
          <w:szCs w:val="24"/>
          <w:lang w:eastAsia="zh-CN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B516E"/>
    <w:multiLevelType w:val="singleLevel"/>
    <w:tmpl w:val="AEDB51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C3D9C67"/>
    <w:multiLevelType w:val="singleLevel"/>
    <w:tmpl w:val="EC3D9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FEE82E7"/>
    <w:multiLevelType w:val="multilevel"/>
    <w:tmpl w:val="0FEE82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63081CD4"/>
    <w:multiLevelType w:val="singleLevel"/>
    <w:tmpl w:val="63081C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3"/>
    <w:rsid w:val="000022B0"/>
    <w:rsid w:val="00013024"/>
    <w:rsid w:val="00015723"/>
    <w:rsid w:val="000171CA"/>
    <w:rsid w:val="000200B4"/>
    <w:rsid w:val="00030F4A"/>
    <w:rsid w:val="00037F1E"/>
    <w:rsid w:val="0004594F"/>
    <w:rsid w:val="00071B36"/>
    <w:rsid w:val="000A5681"/>
    <w:rsid w:val="000A7A97"/>
    <w:rsid w:val="000B7E13"/>
    <w:rsid w:val="000C2BA1"/>
    <w:rsid w:val="001336E8"/>
    <w:rsid w:val="001621E2"/>
    <w:rsid w:val="00172866"/>
    <w:rsid w:val="001905E7"/>
    <w:rsid w:val="001A5B1F"/>
    <w:rsid w:val="001B790C"/>
    <w:rsid w:val="001B7A5E"/>
    <w:rsid w:val="001D11CD"/>
    <w:rsid w:val="001F0749"/>
    <w:rsid w:val="001F513C"/>
    <w:rsid w:val="001F67BB"/>
    <w:rsid w:val="001F7E06"/>
    <w:rsid w:val="00207444"/>
    <w:rsid w:val="00211075"/>
    <w:rsid w:val="00213856"/>
    <w:rsid w:val="00247BD9"/>
    <w:rsid w:val="002954B7"/>
    <w:rsid w:val="002A09CF"/>
    <w:rsid w:val="002E2B0D"/>
    <w:rsid w:val="002F2CE0"/>
    <w:rsid w:val="002F5EAD"/>
    <w:rsid w:val="00301648"/>
    <w:rsid w:val="003146C2"/>
    <w:rsid w:val="003167F1"/>
    <w:rsid w:val="00363373"/>
    <w:rsid w:val="003736F3"/>
    <w:rsid w:val="003B3CDD"/>
    <w:rsid w:val="003B65D7"/>
    <w:rsid w:val="003C60ED"/>
    <w:rsid w:val="003E151B"/>
    <w:rsid w:val="003E6C0A"/>
    <w:rsid w:val="003F5705"/>
    <w:rsid w:val="00403803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02F54"/>
    <w:rsid w:val="0081526C"/>
    <w:rsid w:val="008253ED"/>
    <w:rsid w:val="00827BF3"/>
    <w:rsid w:val="00841B70"/>
    <w:rsid w:val="00846CAC"/>
    <w:rsid w:val="00866E59"/>
    <w:rsid w:val="008747A0"/>
    <w:rsid w:val="00887F23"/>
    <w:rsid w:val="008A7DC2"/>
    <w:rsid w:val="008B6A82"/>
    <w:rsid w:val="0090544B"/>
    <w:rsid w:val="00913C20"/>
    <w:rsid w:val="0091462E"/>
    <w:rsid w:val="00937E2B"/>
    <w:rsid w:val="009412E5"/>
    <w:rsid w:val="009A6E65"/>
    <w:rsid w:val="009B2AD7"/>
    <w:rsid w:val="009B3DB4"/>
    <w:rsid w:val="009C6D04"/>
    <w:rsid w:val="009E7767"/>
    <w:rsid w:val="009F6507"/>
    <w:rsid w:val="00A276F3"/>
    <w:rsid w:val="00A53B11"/>
    <w:rsid w:val="00A610AE"/>
    <w:rsid w:val="00A8769F"/>
    <w:rsid w:val="00A87B3C"/>
    <w:rsid w:val="00AA650F"/>
    <w:rsid w:val="00AD13E1"/>
    <w:rsid w:val="00AD4C08"/>
    <w:rsid w:val="00AD7A6A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DE7BD9"/>
    <w:rsid w:val="00E00F86"/>
    <w:rsid w:val="00E066CA"/>
    <w:rsid w:val="00E25E88"/>
    <w:rsid w:val="00E60D66"/>
    <w:rsid w:val="00E946B8"/>
    <w:rsid w:val="00EB3D8C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10970CA8"/>
    <w:rsid w:val="13873863"/>
    <w:rsid w:val="16B258E2"/>
    <w:rsid w:val="1A9A3184"/>
    <w:rsid w:val="1CAA07AA"/>
    <w:rsid w:val="29973A83"/>
    <w:rsid w:val="2A07061A"/>
    <w:rsid w:val="2ACF5473"/>
    <w:rsid w:val="3DAD4B25"/>
    <w:rsid w:val="40447795"/>
    <w:rsid w:val="4E5B3255"/>
    <w:rsid w:val="512E5CD2"/>
    <w:rsid w:val="51A40414"/>
    <w:rsid w:val="577E2838"/>
    <w:rsid w:val="59F42FBC"/>
    <w:rsid w:val="5E8C6E81"/>
    <w:rsid w:val="5F2519EF"/>
    <w:rsid w:val="68ED16B3"/>
    <w:rsid w:val="6C3F1AD7"/>
    <w:rsid w:val="6D621B82"/>
    <w:rsid w:val="6E4B3442"/>
    <w:rsid w:val="70910E19"/>
    <w:rsid w:val="73AB3E08"/>
    <w:rsid w:val="74A01178"/>
    <w:rsid w:val="77B7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ascii="Arial" w:hAnsi="Arial"/>
      <w:b/>
      <w:sz w:val="14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ind w:firstLine="340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Верхний колонтитул Знак"/>
    <w:basedOn w:val="4"/>
    <w:link w:val="11"/>
    <w:qFormat/>
    <w:uiPriority w:val="99"/>
  </w:style>
  <w:style w:type="character" w:customStyle="1" w:styleId="17">
    <w:name w:val="Нижний колонтитул Знак"/>
    <w:basedOn w:val="4"/>
    <w:link w:val="13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Автор"/>
    <w:basedOn w:val="1"/>
    <w:next w:val="12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21">
    <w:name w:val="Фирма"/>
    <w:basedOn w:val="1"/>
    <w:next w:val="12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1895</Words>
  <Characters>10808</Characters>
  <Lines>90</Lines>
  <Paragraphs>25</Paragraphs>
  <TotalTime>11</TotalTime>
  <ScaleCrop>false</ScaleCrop>
  <LinksUpToDate>false</LinksUpToDate>
  <CharactersWithSpaces>12678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2023-11-14T13:05:00Z</dcterms:created>
  <dc:creator>Левин Вадим Александрович</dc:creator>
  <cp:lastModifiedBy>varva</cp:lastModifiedBy>
  <dcterms:modified xsi:type="dcterms:W3CDTF">2023-11-15T12:23:53Z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A3ADED73DBA3474FA1485F39AACF846D_13</vt:lpwstr>
  </property>
</Properties>
</file>