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default" w:ascii="Arial" w:hAnsi="Arial"/>
          <w:caps/>
          <w:lang w:val="ru-RU"/>
        </w:rPr>
      </w:pPr>
      <w:r>
        <w:rPr>
          <w:rFonts w:ascii="Arial" w:hAnsi="Arial"/>
          <w:caps/>
          <w:lang w:val="ru-RU"/>
        </w:rPr>
        <w:t>СИНХРОНИЗАЦИЯ</w:t>
      </w:r>
      <w:r>
        <w:rPr>
          <w:rFonts w:hint="default" w:ascii="Arial" w:hAnsi="Arial"/>
          <w:caps/>
          <w:lang w:val="ru-RU"/>
        </w:rPr>
        <w:t xml:space="preserve"> АНСАМБЛЯ ЭЛЕМЕНТОВ ПОД ДЕЙСТВИЕМ ТОРМОЗЯЩЕЙ СВЯЗИ НА МОДЕЛИ ФИТЦХЬЮ-НАГУМО</w:t>
      </w:r>
    </w:p>
    <w:p>
      <w:pPr>
        <w:pStyle w:val="18"/>
        <w:rPr>
          <w:b/>
        </w:rPr>
      </w:pPr>
      <w:r>
        <w:rPr>
          <w:b/>
          <w:u w:val="single"/>
          <w:lang w:val="ru-RU"/>
        </w:rPr>
        <w:t>Е</w:t>
      </w:r>
      <w:r>
        <w:rPr>
          <w:rFonts w:hint="default"/>
          <w:b/>
          <w:u w:val="single"/>
          <w:lang w:val="ru-RU"/>
        </w:rPr>
        <w:t>.М</w:t>
      </w:r>
      <w:r>
        <w:rPr>
          <w:b/>
          <w:u w:val="single"/>
        </w:rPr>
        <w:t xml:space="preserve">. </w:t>
      </w:r>
      <w:r>
        <w:rPr>
          <w:b/>
          <w:u w:val="single"/>
          <w:lang w:val="ru-RU"/>
        </w:rPr>
        <w:t>Варварин</w:t>
      </w:r>
      <w:r>
        <w:rPr>
          <w:b/>
          <w:u w:val="single"/>
          <w:vertAlign w:val="superscript"/>
        </w:rPr>
        <w:t>1</w:t>
      </w:r>
      <w:r>
        <w:rPr>
          <w:b/>
        </w:rPr>
        <w:t xml:space="preserve">, </w:t>
      </w:r>
      <w:r>
        <w:rPr>
          <w:b/>
          <w:lang w:val="ru-RU"/>
        </w:rPr>
        <w:t>Г</w:t>
      </w:r>
      <w:r>
        <w:rPr>
          <w:rFonts w:hint="default"/>
          <w:b/>
          <w:lang w:val="ru-RU"/>
        </w:rPr>
        <w:t>.В</w:t>
      </w:r>
      <w:r>
        <w:rPr>
          <w:b/>
        </w:rPr>
        <w:t xml:space="preserve">. </w:t>
      </w:r>
      <w:r>
        <w:rPr>
          <w:b/>
          <w:lang w:val="ru-RU"/>
        </w:rPr>
        <w:t>Осипов</w:t>
      </w:r>
      <w:r>
        <w:rPr>
          <w:b/>
          <w:vertAlign w:val="superscript"/>
        </w:rPr>
        <w:t>1</w:t>
      </w:r>
    </w:p>
    <w:p>
      <w:pPr>
        <w:pStyle w:val="18"/>
      </w:pPr>
      <w:r>
        <w:rPr>
          <w:vertAlign w:val="superscript"/>
        </w:rPr>
        <w:t>1)</w:t>
      </w:r>
      <w:r>
        <w:t xml:space="preserve"> ННГУ им. Н.И. Лобачевского</w:t>
      </w:r>
    </w:p>
    <w:p>
      <w:pPr>
        <w:pStyle w:val="8"/>
        <w:rPr>
          <w:rFonts w:hint="default"/>
          <w:lang w:val="ru-RU"/>
        </w:rPr>
      </w:pPr>
      <w:r>
        <w:t xml:space="preserve">Коллективная динамика систем различной природы, формирование различных структур и их эволюция в системах связанных автоколебательных систем представляет собой одно из ключевых направлений в нелинейной динамике.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данной работе рассматривается синхронизация ансамбля глобально тормозно связанных нейронов. </w:t>
      </w:r>
    </w:p>
    <w:p>
      <w:pPr>
        <w:pStyle w:val="8"/>
        <w:rPr>
          <w:rFonts w:hint="default" w:ascii="Cambria Math" w:hAnsi="Cambria Math"/>
          <w:i/>
          <w:iCs/>
          <w:lang w:val="ru-RU"/>
        </w:rPr>
      </w:pPr>
      <w:r>
        <w:rPr>
          <w:rFonts w:hint="default"/>
          <w:lang w:val="ru-RU"/>
        </w:rPr>
        <w:t>В качестве модели отдельного нейрона была использована феноменологическая модель Бонхёффера-Ван дер Поля, воспроизводящая переодическую генерацию потенциалов действия при воздействии постоянного внешнего стимула</w:t>
      </w:r>
      <w:r>
        <w:rPr>
          <w:rFonts w:hint="default"/>
          <w:lang w:val="en-US"/>
        </w:rPr>
        <w:t>:</w:t>
      </w:r>
    </w:p>
    <w:p>
      <w:pPr>
        <w:pStyle w:val="8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811"/>
        <w:gridCol w:w="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ind w:firstLine="0"/>
            </w:pP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ind w:firstLine="0"/>
              <w:rPr>
                <w:rFonts w:hint="default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m:rPr/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m:rPr/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m:rPr/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  <m:ctrlPr>
                              <m:rPr/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f>
                          <m:fPr>
                            <m:ctrlPr>
                              <m:rPr/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m:rPr/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m:rPr/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 xml:space="preserve">(t)− </m:t>
                        </m:r>
                        <m:f>
                          <m:f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3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b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3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y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(t)−</m:t>
                        </m:r>
                        <m:sSubSup>
                          <m:sSubSup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z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(t)</m:t>
                        </m:r>
                        <m:d>
                          <m:d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(t)−</m:t>
                            </m:r>
                            <m:sSup>
                              <m:sSupP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ν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inℎ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S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(t)−b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y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(t)+a</m:t>
                        </m:r>
                        <m:ctrlPr>
                          <m:rPr/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m:rPr/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  <m:ctrlPr>
                              <m:rPr/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b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(t)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j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  <m:sup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g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ij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inℎ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b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F(</m:t>
                            </m:r>
                            <m:sSub>
                              <m:sSubP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x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j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))−</m:t>
                            </m:r>
                            <m:sSubSup>
                              <m:sSubSupP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z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i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1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bSup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nary>
                        <m:ctrlPr>
                          <m:rPr/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eqArr>
                    <m:ctrlPr>
                      <m:rPr/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8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>
      <w:pPr>
        <w:pStyle w:val="8"/>
        <w:rPr>
          <w:lang w:val="en-US"/>
        </w:rPr>
      </w:pPr>
    </w:p>
    <w:p>
      <w:pPr>
        <w:pStyle w:val="8"/>
        <w:ind w:firstLine="0"/>
        <m:rPr/>
        <w:rPr>
          <w:rFonts w:hint="default" w:hAnsi="Cambria Math"/>
          <w:i w:val="0"/>
          <w:lang w:val="en-US"/>
        </w:rPr>
      </w:pPr>
      <w:r>
        <w:t>где</w:t>
      </w:r>
      <w:r>
        <w:rPr>
          <w:rFonts w:hint="default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18"/>
            <w:szCs w:val="20"/>
            <w:lang w:val="en-US" w:eastAsia="ru-RU" w:bidi="ar-SA"/>
          </w:rPr>
          <m:t>i</m:t>
        </m:r>
      </m:oMath>
      <w:r>
        <w:t>–</w:t>
      </w:r>
      <w:r>
        <m:rPr/>
        <w:rPr>
          <w:rFonts w:hint="default"/>
          <w:lang w:val="en-US" w:eastAsia="ru-RU"/>
        </w:rPr>
        <w:t xml:space="preserve"> </w:t>
      </w:r>
      <w:r>
        <m:rPr/>
        <w:rPr>
          <w:rFonts w:hint="default"/>
          <w:lang w:val="ru-RU" w:eastAsia="ru-RU"/>
        </w:rPr>
        <w:t>номер</w:t>
      </w:r>
      <w:r>
        <m:rPr/>
        <w:rPr>
          <w:rFonts w:hint="default"/>
          <w:lang w:val="en-US" w:eastAsia="ru-RU"/>
        </w:rPr>
        <w:t xml:space="preserve"> нейрона,</w:t>
      </w:r>
      <w:r>
        <w:rPr>
          <w:rFonts w:hint="default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/>
          <w:lang w:val="ru-RU"/>
        </w:rPr>
        <w:t xml:space="preserve">переменная, описывающая динамику мембранного потенциала,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совокупность действия ионных токов.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ru-RU"/>
              </w:rPr>
            </m:ctrlPr>
          </m:sup>
        </m:sSubSup>
      </m:oMath>
      <w:r>
        <w:rPr>
          <w:rFonts w:hint="default" w:hAnsi="Cambria Math"/>
          <w:i w:val="0"/>
          <w:lang w:val="en-US"/>
        </w:rPr>
        <w:t xml:space="preserve"> - </w:t>
      </w:r>
      <w:r>
        <w:rPr>
          <w:rFonts w:hint="default"/>
          <w:lang w:val="ru-RU"/>
        </w:rPr>
        <w:t xml:space="preserve">переменная, отвечающая за синаптическую тормозящую связь между нейронами.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</m:oMath>
      <w:r>
        <w:rPr>
          <w:rFonts w:hint="default"/>
          <w:lang w:val="en-US"/>
        </w:rPr>
        <w:t xml:space="preserve">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параметры в модели, отвечающие внешним стимулам, прикладываемым к нейронам.</w:t>
      </w:r>
      <w:r>
        <w:rPr>
          <w:rFonts w:hint="default" w:hAnsi="Cambria Math"/>
          <w:i w:val="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/>
              <w:rPr>
                <w:rFonts w:ascii="Cambria Math" w:hAnsi="Cambria Math"/>
                <w:lang w:val="ru-RU"/>
              </w:rPr>
              <m:t>ν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inℎ</m:t>
            </m:r>
            <m:ctrlPr>
              <w:rPr>
                <w:rFonts w:ascii="Cambria Math" w:hAnsi="Cambria Math"/>
                <w:i/>
                <w:lang w:val="ru-RU"/>
              </w:rPr>
            </m:ctrlPr>
          </m:sup>
        </m:sSup>
      </m:oMath>
      <w:r>
        <w:rPr>
          <w:rFonts w:hint="default"/>
          <w:lang w:val="en-US"/>
        </w:rPr>
        <w:t xml:space="preserve"> </w:t>
      </w:r>
      <w:r>
        <w:t>–</w:t>
      </w:r>
      <w:r>
        <w:rPr>
          <w:rFonts w:hint="default"/>
          <w:lang w:val="ru-RU"/>
        </w:rPr>
        <w:t xml:space="preserve"> потенциал реверсии тормозных синапсов.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ij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inℎ</m:t>
            </m:r>
            <m:ctrlPr>
              <w:rPr>
                <w:rFonts w:ascii="Cambria Math" w:hAnsi="Cambria Math"/>
                <w:i/>
                <w:lang w:val="ru-RU"/>
              </w:rPr>
            </m:ctrlPr>
          </m:sup>
        </m:sSubSup>
      </m:oMath>
      <w:r>
        <w:rPr>
          <w:rFonts w:hint="default"/>
          <w:lang w:val="ru-RU"/>
        </w:rPr>
        <w:t>матрица коэффициентов, определяющих силу и топологию тормозных связей в ансамбле.</w:t>
      </w:r>
      <w:r>
        <w:rPr>
          <w:rFonts w:hint="default" w:hAnsi="Cambria Math"/>
          <w:i w:val="0"/>
          <w:lang w:val="ru-RU"/>
        </w:rPr>
        <w:t xml:space="preserve"> </w:t>
      </w:r>
      <m:oMath>
        <m:r>
          <m:rPr/>
          <w:rPr>
            <w:rFonts w:hint="default" w:ascii="Cambria Math" w:hAnsi="Cambria Math"/>
            <w:lang w:val="en-US" w:eastAsia="ru-RU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ru-RU"/>
          </w:rPr>
          <m:t>)</m:t>
        </m:r>
      </m:oMath>
      <w:r>
        <m:rPr/>
        <w:rPr>
          <w:rFonts w:hint="default"/>
          <w:lang w:val="en-US" w:eastAsia="ru-RU"/>
        </w:rPr>
        <w:t xml:space="preserve"> </w:t>
      </w:r>
      <w:r>
        <w:t>–</w:t>
      </w:r>
      <w:r>
        <m:rPr/>
        <w:rPr>
          <w:rFonts w:hint="default"/>
          <w:lang w:val="en-US" w:eastAsia="ru-RU"/>
        </w:rPr>
        <w:t xml:space="preserve"> функция Хевисайда. </w:t>
      </w:r>
      <w:r>
        <m:rPr/>
        <w:rPr>
          <w:rFonts w:hint="default"/>
          <w:lang w:val="ru-RU" w:eastAsia="ru-RU"/>
        </w:rPr>
        <w:t>Значения</w:t>
      </w:r>
      <w:r>
        <m:rPr/>
        <w:rPr>
          <w:rFonts w:hint="default"/>
          <w:lang w:val="en-US" w:eastAsia="ru-RU"/>
        </w:rPr>
        <w:t xml:space="preserve"> параметров, неизменных во всех численных экспериментах: </w:t>
      </w:r>
      <m:oMath>
        <m:r>
          <m:rPr>
            <m:sty m:val="p"/>
          </m:rPr>
          <w:rPr>
            <w:rFonts w:hint="default" w:ascii="Cambria Math" w:hAnsi="Cambria Math" w:cs="Times New Roman"/>
            <w:sz w:val="18"/>
            <w:szCs w:val="20"/>
            <w:lang w:val="en-US" w:eastAsia="ru-RU" w:bidi="ar-SA"/>
          </w:rPr>
          <m:t xml:space="preserve">a=0.7, b=0.8,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=0.08,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=3.1, </m:t>
        </m:r>
        <m:sSup>
          <m:sSupPr>
            <m:ctrlPr>
              <w:rPr>
                <w:rFonts w:hint="default"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ν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inℎ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=</m:t>
        </m:r>
        <m:r>
          <m:rPr/>
          <w:rPr>
            <w:rFonts w:hint="default" w:ascii="Cambria Math" w:hAnsi="Cambria Math"/>
            <w:lang w:val="ru-RU"/>
          </w:rPr>
          <m:t>−</m:t>
        </m:r>
        <m:r>
          <m:rPr/>
          <w:rPr>
            <w:rFonts w:hint="default" w:ascii="Cambria Math" w:hAnsi="Cambria Math"/>
            <w:lang w:val="en-US"/>
          </w:rPr>
          <m:t xml:space="preserve">1.5, </m:t>
        </m:r>
        <m:sSub>
          <m:sSubPr>
            <m:ctrlPr>
              <m:rPr/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S</m:t>
            </m:r>
            <m:ctrlPr>
              <m:rPr/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m:rPr/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=0.45</m:t>
        </m:r>
      </m:oMath>
      <w:r>
        <m:rPr/>
        <w:rPr>
          <w:rFonts w:hint="default" w:hAnsi="Cambria Math"/>
          <w:i w:val="0"/>
          <w:lang w:val="en-US"/>
        </w:rPr>
        <w:t xml:space="preserve">. </w:t>
      </w:r>
    </w:p>
    <w:p>
      <w:pPr>
        <w:pStyle w:val="8"/>
        <m:rPr/>
        <w:rPr>
          <w:rFonts w:hint="default"/>
          <w:lang w:val="en-US"/>
        </w:rPr>
      </w:pPr>
      <w:r>
        <m:rPr/>
        <w:rPr>
          <w:rFonts w:hint="default"/>
          <w:lang w:val="ru-RU"/>
        </w:rPr>
        <w:t xml:space="preserve">При отсутствии связей все нейроны находятся в автоколебательном режиме. Введем в рассмотрение фазу </w:t>
      </w:r>
      <w:r>
        <m:rPr/>
        <w:rPr>
          <w:rFonts w:hint="default"/>
          <w:lang w:val="en-US"/>
        </w:rPr>
        <w:t>j-</w:t>
      </w:r>
      <w:r>
        <m:rPr/>
        <w:rPr>
          <w:rFonts w:hint="default"/>
          <w:lang w:val="ru-RU"/>
        </w:rPr>
        <w:t xml:space="preserve">го нейрона на </w:t>
      </w:r>
      <w:r>
        <m:rPr/>
        <w:rPr>
          <w:rFonts w:hint="default"/>
          <w:lang w:val="en-US"/>
        </w:rPr>
        <w:t>k-</w:t>
      </w:r>
      <w:r>
        <m:rPr/>
        <w:rPr>
          <w:rFonts w:hint="default"/>
          <w:lang w:val="ru-RU"/>
        </w:rPr>
        <w:t>м максимуме, она вычисляется следующим образом</w:t>
      </w:r>
      <w:r>
        <m:rPr/>
        <w:rPr>
          <w:rFonts w:hint="default"/>
          <w:lang w:val="en-US"/>
        </w:rPr>
        <w:t>:</w:t>
      </w:r>
    </w:p>
    <w:p>
      <w:pPr>
        <w:pStyle w:val="8"/>
        <m:rPr/>
        <w:rPr>
          <w:rFonts w:hint="default" w:hAnsi="Cambria Math"/>
          <w:i w:val="0"/>
          <w:lang w:val="ru-RU"/>
        </w:rPr>
      </w:pPr>
    </w:p>
    <w:tbl>
      <w:tblPr>
        <w:tblStyle w:val="1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525"/>
        <w:gridCol w:w="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center"/>
          </w:tcPr>
          <w:p>
            <w:pPr>
              <w:jc w:val="center"/>
            </w:pPr>
          </w:p>
        </w:tc>
        <w:tc>
          <w:tcPr>
            <w:tcW w:w="4000" w:type="pct"/>
            <w:vAlign w:val="center"/>
          </w:tcPr>
          <w:p>
            <w:pPr>
              <w:pStyle w:val="23"/>
              <w:jc w:val="center"/>
              <w:rPr>
                <w:rFonts w:hint="default"/>
                <w:lang w:val="en-US"/>
              </w:rPr>
            </w:pPr>
            <m:oMathPara>
              <m:oMath>
                <m:sSub>
                  <m:sSubPr>
                    <m:ctrlPr>
                      <m:rPr/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φ</m:t>
                    </m:r>
                    <m:ctrlPr>
                      <m:rPr/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j</m:t>
                    </m:r>
                    <m:ctrlPr>
                      <m:rPr/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r>
                  <m:rPr/>
                  <w:rPr>
                    <w:rFonts w:ascii="Cambria Math" w:hAnsi="Cambria Math"/>
                    <w:lang w:val="en-US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>
            <w:pPr>
              <w:jc w:val="center"/>
            </w:pPr>
            <w:r>
              <w:t>(2)</w:t>
            </w:r>
          </w:p>
        </w:tc>
      </w:tr>
    </w:tbl>
    <w:p>
      <w:pPr>
        <w:pStyle w:val="8"/>
        <w:ind w:left="0" w:leftChars="0" w:firstLine="0" w:firstLineChars="0"/>
        <m:rPr/>
        <w:rPr>
          <w:rFonts w:hint="default" w:hAnsi="Cambria Math"/>
          <w:i w:val="0"/>
          <w:lang w:val="en-US" w:eastAsia="ru-RU"/>
        </w:rPr>
      </w:pPr>
    </w:p>
    <w:p>
      <w:pPr>
        <w:pStyle w:val="8"/>
        <w:ind w:left="0" w:leftChars="0" w:firstLine="0" w:firstLineChars="0"/>
        <w:rPr>
          <w:rFonts w:hint="default"/>
          <w:lang w:val="ru-RU"/>
        </w:rPr>
      </w:pPr>
      <w:r>
        <m:rPr/>
        <w:rPr>
          <w:rFonts w:hint="default" w:hAnsi="Cambria Math"/>
          <w:i w:val="0"/>
          <w:lang w:val="ru-RU" w:eastAsia="ru-RU"/>
        </w:rPr>
        <w:t>где</w:t>
      </w:r>
      <w:r>
        <m:rPr/>
        <w:rPr>
          <w:rFonts w:hint="default" w:hAnsi="Cambria Math"/>
          <w:i w:val="0"/>
          <w:lang w:val="en-US" w:eastAsia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18"/>
            <w:szCs w:val="20"/>
            <w:lang w:val="en-US" w:eastAsia="ru-RU" w:bidi="ar-SA"/>
          </w:rPr>
          <m:t>T</m:t>
        </m:r>
      </m:oMath>
      <w:r>
        <w:rPr>
          <w:rFonts w:hint="default" w:hAnsi="Cambria Math"/>
          <w:i w:val="0"/>
          <w:lang w:val="en-US"/>
        </w:rPr>
        <w:t xml:space="preserve"> </w:t>
      </w:r>
      <w:r>
        <w:t>–</w:t>
      </w:r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 w:hAnsi="Cambria Math"/>
          <w:i w:val="0"/>
          <w:lang w:val="ru-RU"/>
        </w:rPr>
        <w:t xml:space="preserve">период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ru-RU"/>
        </w:rPr>
        <w:t xml:space="preserve">разница между временем </w:t>
      </w:r>
      <w:r>
        <w:rPr>
          <w:rFonts w:hint="default"/>
          <w:lang w:val="en-US" w:eastAsia="ru-RU"/>
        </w:rPr>
        <w:t>k-</w:t>
      </w:r>
      <w:r>
        <w:rPr>
          <w:rFonts w:hint="default"/>
          <w:lang w:val="ru-RU" w:eastAsia="ru-RU"/>
        </w:rPr>
        <w:t xml:space="preserve">го и </w:t>
      </w:r>
      <m:oMath>
        <m:r>
          <m:rPr/>
          <w:rPr>
            <w:rFonts w:hint="default" w:ascii="Cambria Math" w:hAnsi="Cambria Math"/>
            <w:lang w:val="en-US" w:eastAsia="ru-RU"/>
          </w:rPr>
          <m:t>(k−1)</m:t>
        </m:r>
      </m:oMath>
      <w:r>
        <m:rPr/>
        <w:rPr>
          <w:rFonts w:hint="default" w:hAnsi="Cambria Math" w:cs="Times New Roman"/>
          <w:i w:val="0"/>
          <w:sz w:val="18"/>
          <w:szCs w:val="20"/>
          <w:lang w:val="en-US" w:eastAsia="ru-RU" w:bidi="ar-SA"/>
        </w:rPr>
        <w:t>-</w:t>
      </w:r>
      <w:r>
        <m:rPr/>
        <w:rPr>
          <w:rFonts w:hint="default"/>
          <w:lang w:val="ru-RU" w:eastAsia="ru-RU"/>
        </w:rPr>
        <w:t>го</w:t>
      </w:r>
      <w:r>
        <m:rPr/>
        <w:rPr>
          <w:rFonts w:hint="default"/>
          <w:lang w:val="en-US" w:eastAsia="ru-RU"/>
        </w:rPr>
        <w:t xml:space="preserve"> максимумов. </w:t>
      </w:r>
      <m:oMath>
        <m:r>
          <m:rPr/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 w:ascii="Times New Roman" w:hAnsi="Cambria Math"/>
          <w:i w:val="0"/>
          <w:lang w:val="ru-RU"/>
        </w:rPr>
        <w:t xml:space="preserve"> </w:t>
      </w:r>
      <w:r>
        <w:t>–</w:t>
      </w:r>
      <w:r>
        <w:rPr>
          <w:rFonts w:hint="default" w:ascii="Times New Roman" w:hAnsi="Cambria Math"/>
          <w:i w:val="0"/>
          <w:lang w:val="ru-RU"/>
        </w:rPr>
        <w:t xml:space="preserve"> </w:t>
      </w:r>
      <w:r>
        <w:rPr>
          <w:rFonts w:hint="default"/>
          <w:lang w:val="ru-RU"/>
        </w:rPr>
        <w:t xml:space="preserve">разница между </w:t>
      </w:r>
      <w:r>
        <w:rPr>
          <w:rFonts w:hint="default"/>
          <w:lang w:val="en-US"/>
        </w:rPr>
        <w:t>k-</w:t>
      </w:r>
      <w:r>
        <w:rPr>
          <w:rFonts w:hint="default"/>
          <w:lang w:val="ru-RU"/>
        </w:rPr>
        <w:t xml:space="preserve">м максимумом первого нейрона и </w:t>
      </w:r>
      <w:r>
        <w:rPr>
          <w:rFonts w:hint="default"/>
          <w:lang w:val="en-US"/>
        </w:rPr>
        <w:t>k-</w:t>
      </w:r>
      <w:r>
        <w:rPr>
          <w:rFonts w:hint="default"/>
          <w:lang w:val="ru-RU"/>
        </w:rPr>
        <w:t xml:space="preserve">м максимумом </w:t>
      </w:r>
      <w:r>
        <w:rPr>
          <w:rFonts w:hint="default"/>
          <w:lang w:val="en-US"/>
        </w:rPr>
        <w:t>j</w:t>
      </w:r>
      <w:r>
        <w:rPr>
          <w:rFonts w:hint="default"/>
          <w:lang w:val="ru-RU"/>
        </w:rPr>
        <w:t>-го нейрона, как показано на осциллограмме на рисунке 1</w:t>
      </w:r>
      <w:r>
        <w:rPr>
          <w:rFonts w:hint="default"/>
          <w:lang w:val="en-US"/>
        </w:rPr>
        <w:t>.</w:t>
      </w:r>
    </w:p>
    <w:p>
      <w:pPr>
        <w:pStyle w:val="8"/>
        <w:ind w:left="0" w:leftChars="0" w:firstLine="0" w:firstLineChars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drawing>
          <wp:inline distT="0" distB="0" distL="114300" distR="114300">
            <wp:extent cx="4239895" cy="1637665"/>
            <wp:effectExtent l="0" t="0" r="8255" b="635"/>
            <wp:docPr id="18" name="Изображение 18" descr="r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r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m:rPr/>
        <w:rPr>
          <w:rFonts w:hint="default"/>
          <w:b w:val="0"/>
          <w:color w:val="000000" w:themeColor="text1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Рис. </w:t>
      </w: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instrText xml:space="preserve"> SEQ Изображение \* ARABIC </w:instrText>
      </w: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Для оценки взаимной синхронизации нейронов </w:t>
      </w:r>
      <w:r>
        <w:rPr>
          <w:rFonts w:hint="default"/>
          <w:lang w:val="en-US" w:eastAsia="zh-CN"/>
        </w:rPr>
        <w:t xml:space="preserve">были использованы параметры порядка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/>
          <w:lang w:val="en-US" w:eastAsia="zh-CN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/>
          <w:lang w:val="en-US" w:eastAsia="zh-CN"/>
        </w:rPr>
        <w:t xml:space="preserve">. Они вычисляются </w:t>
      </w:r>
      <w:r>
        <w:rPr>
          <w:rFonts w:hint="default"/>
          <w:lang w:val="ru-RU" w:eastAsia="zh-CN"/>
        </w:rPr>
        <w:t>по формуле (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ru-RU" w:eastAsia="zh-CN"/>
        </w:rPr>
        <w:t>)</w:t>
      </w:r>
      <w:r>
        <w:rPr>
          <w:rFonts w:hint="default"/>
          <w:lang w:val="en-US" w:eastAsia="zh-CN"/>
        </w:rPr>
        <w:t xml:space="preserve">: </w:t>
      </w:r>
    </w:p>
    <w:p>
      <w:pPr>
        <w:pStyle w:val="8"/>
        <w:ind w:left="0" w:leftChars="0" w:firstLine="0" w:firstLineChars="0"/>
        <w:rPr>
          <w:rFonts w:hint="default"/>
          <w:lang w:val="ru-RU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0"/>
        <w:gridCol w:w="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ind w:firstLine="0"/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m:rPr/>
              <w:rPr>
                <w:rFonts w:hAnsi="Cambria Math"/>
                <w:i/>
                <w:lang w:val="en-US"/>
              </w:rPr>
            </w:pPr>
            <m:oMathPara>
              <m:oMath>
                <m:sSub>
                  <m:sSubPr>
                    <m:ctrlPr>
                      <m:rPr/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R</m:t>
                    </m:r>
                    <m:ctrlPr>
                      <m:rPr/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m:rPr/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=</m:t>
                </m:r>
                <m:f>
                  <m:fPr>
                    <m:ctrlPr>
                      <m:rPr/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begChr m:val="|"/>
                    <m:endChr m:val="|"/>
                    <m:ctrlPr>
                      <m:rPr/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j=2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e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i2</m:t>
                            </m:r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  <m:f>
                              <m:fPr>
                                <m:ctrlPr>
                                  <m:rPr/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m:rPr/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  <m:ctrlPr>
                                      <m:rPr/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m:rPr/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ctrlPr>
                                  <m:rPr/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T</m:t>
                                </m:r>
                                <m:ctrlPr>
                                  <m:rPr/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en>
                            </m:f>
                            <m:ctrlPr>
                              <m:rPr/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</m:nary>
                    <m:ctrlPr>
                      <m:rPr/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j=2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/>
                                <w:lang w:val="en-US"/>
                              </w:rPr>
                              <m:t>i4</m:t>
                            </m:r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/>
                            <w:i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8"/>
              <w:ind w:firstLine="0"/>
              <w:jc w:val="right"/>
            </w:pPr>
            <w:r>
              <w:t>(</w:t>
            </w:r>
            <w:r>
              <w:rPr>
                <w:rFonts w:hint="default"/>
                <w:lang w:val="ru-RU"/>
              </w:rPr>
              <w:t>3</w:t>
            </w:r>
            <w:r>
              <w:t>)</w:t>
            </w:r>
          </w:p>
        </w:tc>
      </w:tr>
    </w:tbl>
    <w:p>
      <w:pPr>
        <w:pStyle w:val="8"/>
        <w:ind w:firstLine="0"/>
      </w:pPr>
    </w:p>
    <w:p>
      <w:pPr>
        <w:pStyle w:val="8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В зависимости от числа элементов, от значения параметра связи </w:t>
      </w:r>
      <m:oMath>
        <m:sSub>
          <m:sSubPr>
            <m:ctrlPr>
              <w:rPr>
                <w:rFonts w:hint="default"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G</m:t>
            </m:r>
            <m:ctrlPr>
              <w:rPr>
                <w:rFonts w:hint="default" w:ascii="Cambria Math" w:hAnsi="Cambria Math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inℎ</m:t>
            </m:r>
            <m:ctrlPr>
              <w:rPr>
                <w:rFonts w:hint="default" w:ascii="Cambria Math" w:hAnsi="Cambria Math"/>
                <w:lang w:val="ru-RU"/>
              </w:rPr>
            </m:ctrlPr>
          </m:sub>
        </m:sSub>
      </m:oMath>
      <w:r>
        <w:rPr>
          <w:rFonts w:hint="default"/>
          <w:lang w:val="ru-RU"/>
        </w:rPr>
        <w:t xml:space="preserve">, </w:t>
      </w:r>
      <w:r>
        <w:rPr>
          <w:rFonts w:hint="default"/>
          <w:lang w:val="en-US" w:eastAsia="zh-CN"/>
        </w:rPr>
        <w:t xml:space="preserve">а также от начальных условий система может показывать различную динамику и разные режимы </w:t>
      </w:r>
    </w:p>
    <w:p>
      <w:pPr>
        <w:pStyle w:val="8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синхронизации. При одном значении силы связи и одинаковом числе элементов, система показывает различные режимы синхронизации, то есть в системе присутствует мультистабильность на большей части прямой значений параметра. </w:t>
      </w:r>
    </w:p>
    <w:p>
      <w:pPr>
        <w:pStyle w:val="8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Проведя протяжку по исследуемому параметру для четного числа элементов (в примере ниже показаны результаты для 8 элементов) получим режимы, представленные на Рис. 2</w:t>
      </w:r>
      <w:r>
        <w:rPr>
          <w:rFonts w:hint="default"/>
          <w:lang w:val="en-US" w:eastAsia="zh-CN"/>
        </w:rPr>
        <w:t xml:space="preserve">: </w:t>
      </w:r>
    </w:p>
    <w:p>
      <w:pPr>
        <w:rPr>
          <w:rFonts w:hint="default"/>
          <w:lang w:val="ru-RU" w:eastAsia="zh-CN"/>
        </w:rPr>
      </w:pP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32275" cy="1150620"/>
            <wp:effectExtent l="0" t="0" r="15875" b="11430"/>
            <wp:docPr id="15" name="Изображение 15" descr="8сп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8справ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Рис. 2</w:t>
      </w:r>
    </w:p>
    <w:p>
      <w:pPr>
        <w:pStyle w:val="8"/>
        <w:rPr>
          <w:rFonts w:hint="default"/>
          <w:lang w:val="en-US" w:eastAsia="zh-CN"/>
        </w:rPr>
      </w:pPr>
    </w:p>
    <w:p>
      <w:pPr>
        <w:pStyle w:val="8"/>
        <w:ind w:left="0" w:leftChars="0" w:firstLine="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4232275" cy="2308860"/>
            <wp:effectExtent l="0" t="0" r="15875" b="15240"/>
            <wp:docPr id="12" name="Изображение 12" descr="8слев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8слева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ru-RU"/>
        </w:rPr>
      </w:pP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Рис. 3</w:t>
      </w:r>
    </w:p>
    <w:p>
      <w:pPr>
        <w:rPr>
          <w:rFonts w:hint="default"/>
          <w:b w:val="0"/>
          <w:color w:val="000000" w:themeColor="text1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На рисунках 2 и 3 представлены интервалы различных режимов системы на прямой параметра </w:t>
      </w:r>
      <m:oMath>
        <m:sSub>
          <m:sSubPr>
            <m:ctrlPr>
              <w:rPr>
                <w:rFonts w:hint="default"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G</m:t>
            </m:r>
            <m:ctrlPr>
              <w:rPr>
                <w:rFonts w:hint="default" w:ascii="Cambria Math" w:hAnsi="Cambria Math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inℎ</m:t>
            </m:r>
            <m:ctrlPr>
              <w:rPr>
                <w:rFonts w:hint="default" w:ascii="Cambria Math" w:hAnsi="Cambria Math"/>
                <w:lang w:val="ru-RU"/>
              </w:rPr>
            </m:ctrlPr>
          </m:sub>
        </m:sSub>
      </m:oMath>
      <w:r>
        <w:rPr>
          <w:rFonts w:hint="default" w:ascii="Times New Roman" w:hAnsi="Cambria Math"/>
          <w:i w:val="0"/>
          <w:lang w:val="ru-RU"/>
        </w:rPr>
        <w:t xml:space="preserve"> </w:t>
      </w: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при протяжке по параметру справа-налево (Рис. 2) и слева-направо (Рис. 3). Над прямой значений параметра </w:t>
      </w:r>
      <m:oMath>
        <m:sSub>
          <m:sSubPr>
            <m:ctrlPr>
              <w:rPr>
                <w:rFonts w:hint="default"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G</m:t>
            </m:r>
            <m:ctrlPr>
              <w:rPr>
                <w:rFonts w:hint="default" w:ascii="Cambria Math" w:hAnsi="Cambria Math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inℎ</m:t>
            </m:r>
            <m:ctrlPr>
              <w:rPr>
                <w:rFonts w:hint="default" w:ascii="Cambria Math" w:hAnsi="Cambria Math"/>
                <w:lang w:val="ru-RU"/>
              </w:rPr>
            </m:ctrlPr>
          </m:sub>
        </m:sSub>
      </m:oMath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представлены графики различных режимов системы при конкретных значениях параметра (на единичной окружности). Снизу на рисунке 3 и справа на рисунке 2 представлены графики зависимости параметров порядка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/>
          <w:lang w:val="en-US" w:eastAsia="zh-CN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от параметра связи.</w:t>
      </w:r>
    </w:p>
    <w:p>
      <w:pPr>
        <w:pStyle w:val="11"/>
      </w:pPr>
      <w:r>
        <w:rPr>
          <w:lang w:val="ru-RU"/>
        </w:rPr>
        <w:t>Синфазный</w:t>
      </w:r>
      <w:r>
        <w:rPr>
          <w:rFonts w:hint="default"/>
          <w:lang w:val="ru-RU"/>
        </w:rPr>
        <w:t xml:space="preserve"> режим (режим полной синхронизации)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>Противофазный режим (4</w:t>
      </w:r>
      <w:r>
        <w:rPr>
          <w:rFonts w:hint="default"/>
          <w:lang w:val="en-US"/>
        </w:rPr>
        <w:t>;4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 xml:space="preserve">в общем случае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m:rPr/>
              <w:rPr>
                <w:rFonts w:hint="default" w:ascii="Cambria Math" w:hAnsi="Cambria Math"/>
                <w:lang w:val="en-US"/>
              </w:rPr>
              <m:t>;</m:t>
            </m:r>
            <m:f>
              <m:f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ru-RU"/>
              </w:rPr>
            </m:ctrlPr>
          </m:e>
        </m:d>
      </m:oMath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 xml:space="preserve">Режим </w:t>
      </w:r>
      <w:r>
        <w:rPr>
          <w:rFonts w:hint="default"/>
          <w:lang w:val="en-US"/>
        </w:rPr>
        <w:t xml:space="preserve">(3;1;3;1) - </w:t>
      </w:r>
      <w:r>
        <w:rPr>
          <w:rFonts w:hint="default"/>
          <w:lang w:val="ru-RU"/>
        </w:rPr>
        <w:t xml:space="preserve">в общем случае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m:rPr/>
              <w:rPr>
                <w:rFonts w:hint="default" w:ascii="Cambria Math" w:hAnsi="Cambria Math"/>
                <w:lang w:val="en-US"/>
              </w:rPr>
              <m:t xml:space="preserve">−1; 1; 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m:rPr/>
              <w:rPr>
                <w:rFonts w:hint="default" w:ascii="Cambria Math" w:hAnsi="Cambria Math"/>
                <w:lang w:val="en-US"/>
              </w:rPr>
              <m:t>−1; 1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</m:d>
      </m:oMath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 xml:space="preserve">Режим </w:t>
      </w:r>
      <w:r>
        <w:rPr>
          <w:rFonts w:hint="default"/>
          <w:lang w:val="en-US"/>
        </w:rPr>
        <w:t xml:space="preserve">(2;2;2;2) - </w:t>
      </w:r>
      <w:r>
        <w:rPr>
          <w:rFonts w:hint="default"/>
          <w:lang w:val="ru-RU"/>
        </w:rPr>
        <w:t xml:space="preserve">в общем случае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m:rPr/>
              <w:rPr>
                <w:rFonts w:hint="default" w:ascii="Cambria Math" w:hAnsi="Cambria Math"/>
                <w:lang w:val="en-US"/>
              </w:rPr>
              <m:t xml:space="preserve">−2; 2; 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den>
            </m:f>
            <m:r>
              <m:rPr/>
              <w:rPr>
                <w:rFonts w:hint="default" w:ascii="Cambria Math" w:hAnsi="Cambria Math"/>
                <w:lang w:val="en-US"/>
              </w:rPr>
              <m:t>−2; 2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</m:d>
      </m:oMath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 xml:space="preserve">Режим </w:t>
      </w:r>
      <w:r>
        <w:rPr>
          <w:rFonts w:hint="default"/>
          <w:lang w:val="en-US"/>
        </w:rPr>
        <w:t>splay state;</w:t>
      </w:r>
    </w:p>
    <w:p>
      <w:pPr>
        <w:pStyle w:val="11"/>
      </w:pPr>
      <w:r>
        <w:rPr>
          <w:rFonts w:hint="default"/>
          <w:lang w:val="ru-RU"/>
        </w:rPr>
        <w:t>Нестационарные режимы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 xml:space="preserve">Режим </w:t>
      </w:r>
      <w:r>
        <w:rPr>
          <w:rFonts w:hint="default"/>
          <w:lang w:val="en-US"/>
        </w:rPr>
        <w:t xml:space="preserve">solitary state 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>N-1; 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>Подавление некоторых нейронов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lang w:val="ru-RU"/>
        </w:rPr>
        <w:t>Деактивация</w:t>
      </w:r>
      <w:r>
        <w:rPr>
          <w:rFonts w:hint="default"/>
          <w:lang w:val="ru-RU"/>
        </w:rPr>
        <w:t xml:space="preserve"> всех нейронов</w:t>
      </w:r>
      <w:r>
        <w:rPr>
          <w:rFonts w:hint="default"/>
          <w:lang w:val="en-US"/>
        </w:rPr>
        <w:t>;</w:t>
      </w:r>
    </w:p>
    <w:p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При нечетном числе элементов (ниже представлен результат для 7 элементов) разбиение по прямой параметра выглядит следующим образом</w:t>
      </w:r>
      <w:r>
        <w:rPr>
          <w:rFonts w:hint="default"/>
          <w:lang w:val="en-US"/>
        </w:rPr>
        <w:t>:</w:t>
      </w:r>
      <w:bookmarkStart w:id="0" w:name="_GoBack"/>
      <w:bookmarkEnd w:id="0"/>
    </w:p>
    <w:p>
      <w:pPr>
        <w:pStyle w:val="8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224655" cy="1940560"/>
            <wp:effectExtent l="0" t="0" r="4445" b="2540"/>
            <wp:docPr id="17" name="Изображение 17" descr="7 пол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7 полная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Рис. 4</w:t>
      </w:r>
    </w:p>
    <w:p>
      <w:pPr>
        <w:pStyle w:val="8"/>
        <w:rPr>
          <w:rFonts w:hint="default"/>
          <w:lang w:val="en-US"/>
        </w:rPr>
      </w:pPr>
      <w:r>
        <w:rPr>
          <w:rFonts w:hint="default"/>
          <w:lang w:val="ru-RU"/>
        </w:rPr>
        <w:t>Полученные для нечетного числа элементов режимы</w:t>
      </w:r>
      <w:r>
        <w:rPr>
          <w:rFonts w:hint="default"/>
          <w:lang w:val="en-US"/>
        </w:rPr>
        <w:t>:</w:t>
      </w:r>
    </w:p>
    <w:p>
      <w:pPr>
        <w:pStyle w:val="11"/>
      </w:pPr>
      <w:r>
        <w:rPr>
          <w:lang w:val="ru-RU"/>
        </w:rPr>
        <w:t>Синфазный</w:t>
      </w:r>
      <w:r>
        <w:rPr>
          <w:rFonts w:hint="default"/>
          <w:lang w:val="ru-RU"/>
        </w:rPr>
        <w:t xml:space="preserve"> режим (режим полной синхронизации)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 xml:space="preserve">Режим </w:t>
      </w:r>
      <w:r>
        <w:rPr>
          <w:rFonts w:hint="default"/>
          <w:lang w:val="en-US"/>
        </w:rPr>
        <w:t>splay state</w:t>
      </w:r>
      <w:r>
        <w:rPr>
          <w:rFonts w:hint="default"/>
          <w:lang w:val="ru-RU"/>
        </w:rPr>
        <w:t xml:space="preserve"> (полный при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=0</m:t>
        </m:r>
      </m:oMath>
      <w:r>
        <m:rPr/>
        <w:rPr>
          <w:rFonts w:hint="default"/>
          <w:lang w:val="ru-RU"/>
        </w:rPr>
        <w:t xml:space="preserve"> и обобщенный при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ru-RU"/>
              </w:rPr>
            </m:ctrlPr>
          </m:sub>
        </m:sSub>
        <m:r>
          <m:rPr/>
          <w:rPr>
            <w:rFonts w:ascii="Cambria Math" w:hAnsi="Cambria Math"/>
            <w:lang w:val="ru-RU"/>
          </w:rPr>
          <m:t>≠</m:t>
        </m:r>
        <m:r>
          <m:rPr/>
          <w:rPr>
            <w:rFonts w:hint="default" w:ascii="Cambria Math" w:hAnsi="Cambria Math"/>
            <w:lang w:val="en-US"/>
          </w:rPr>
          <m:t>0</m:t>
        </m:r>
      </m:oMath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 xml:space="preserve">Режим </w:t>
      </w:r>
      <w:r>
        <w:rPr>
          <w:rFonts w:hint="default"/>
          <w:lang w:val="en-US"/>
        </w:rPr>
        <w:t xml:space="preserve">solitary state  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>N-1; 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>Подавление некоторых нейронов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lang w:val="ru-RU"/>
        </w:rPr>
        <w:t>Деактивация</w:t>
      </w:r>
      <w:r>
        <w:rPr>
          <w:rFonts w:hint="default"/>
          <w:lang w:val="ru-RU"/>
        </w:rPr>
        <w:t xml:space="preserve"> всех нейронов</w:t>
      </w:r>
      <w:r>
        <w:rPr>
          <w:rFonts w:hint="default"/>
          <w:lang w:val="en-US"/>
        </w:rPr>
        <w:t>;</w:t>
      </w:r>
    </w:p>
    <w:p>
      <w:pPr>
        <w:pStyle w:val="8"/>
        <w:rPr>
          <w:rFonts w:hint="default"/>
          <w:lang w:val="en-US"/>
        </w:rPr>
      </w:pPr>
      <w:r>
        <w:rPr>
          <w:rFonts w:hint="default"/>
          <w:lang w:val="ru-RU"/>
        </w:rPr>
        <w:t>Таким образом показано, что в ансамбле глобально тормозно симметрично связанных систем ФитцХью-Нагумо при четном и нечетном числе элементов при определенных начальных условиях и силе связи реализуются режимы</w:t>
      </w:r>
      <w:r>
        <w:rPr>
          <w:rFonts w:hint="default"/>
          <w:lang w:val="en-US"/>
        </w:rPr>
        <w:t>:</w:t>
      </w:r>
    </w:p>
    <w:p>
      <w:pPr>
        <w:pStyle w:val="11"/>
      </w:pPr>
      <w:r>
        <w:rPr>
          <w:lang w:val="ru-RU"/>
        </w:rPr>
        <w:t>Полной</w:t>
      </w:r>
      <w:r>
        <w:rPr>
          <w:rFonts w:hint="default"/>
          <w:lang w:val="ru-RU"/>
        </w:rPr>
        <w:t xml:space="preserve"> синфазной синхронизации (слабая связь)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>Уединенное состояние (слабая связь)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 xml:space="preserve">Режим </w:t>
      </w:r>
      <w:r>
        <w:rPr>
          <w:rFonts w:hint="default"/>
          <w:lang w:val="en-US"/>
        </w:rPr>
        <w:t>splay state (</w:t>
      </w:r>
      <w:r>
        <w:rPr>
          <w:rFonts w:hint="default"/>
          <w:lang w:val="ru-RU"/>
        </w:rPr>
        <w:t>слабая связь</w:t>
      </w:r>
      <w:r>
        <w:rPr>
          <w:rFonts w:hint="default"/>
          <w:lang w:val="en-US"/>
        </w:rPr>
        <w:t>);</w:t>
      </w:r>
    </w:p>
    <w:p>
      <w:pPr>
        <w:pStyle w:val="11"/>
      </w:pPr>
      <w:r>
        <w:rPr>
          <w:rFonts w:hint="default"/>
          <w:lang w:val="ru-RU"/>
        </w:rPr>
        <w:t>Различные структуры с нулевым первым параметром порядка и ненулевым вторым параметром порядка (слабая связь)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>Противофазная синхронизация (четное число элементов, слабая связь)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>Мультистабильность (слабая связь)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>Нестационарные структуры (слабая связь)</w:t>
      </w:r>
      <w:r>
        <w:rPr>
          <w:rFonts w:hint="default"/>
          <w:lang w:val="en-US"/>
        </w:rPr>
        <w:t>;</w:t>
      </w:r>
    </w:p>
    <w:p>
      <w:pPr>
        <w:pStyle w:val="11"/>
      </w:pPr>
      <w:r>
        <w:rPr>
          <w:rFonts w:hint="default"/>
          <w:lang w:val="ru-RU"/>
        </w:rPr>
        <w:t>Эффекты частичного и полного вымирания колебаний (сильная связь).</w:t>
      </w:r>
    </w:p>
    <w:p>
      <w:pPr>
        <w:pStyle w:val="21"/>
        <w:numPr>
          <w:ilvl w:val="0"/>
          <w:numId w:val="0"/>
        </w:numPr>
        <w:ind w:left="340" w:hanging="340"/>
        <w:rPr>
          <w:lang w:val="en-US"/>
        </w:rPr>
      </w:pPr>
    </w:p>
    <w:sectPr>
      <w:footerReference r:id="rId6" w:type="default"/>
      <w:headerReference r:id="rId5" w:type="even"/>
      <w:footerReference r:id="rId7" w:type="even"/>
      <w:pgSz w:w="8392" w:h="11907"/>
      <w:pgMar w:top="1474" w:right="851" w:bottom="1077" w:left="851" w:header="283" w:footer="283" w:gutter="0"/>
      <w:cols w:space="720" w:num="1"/>
      <w:docGrid w:linePitch="24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FRM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10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w:t>Труды 3-й научной конференции по радиофизике, ÍÍÃÓ, 1999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15968"/>
    <w:multiLevelType w:val="multilevel"/>
    <w:tmpl w:val="49F15968"/>
    <w:lvl w:ilvl="0" w:tentative="0">
      <w:start w:val="1"/>
      <w:numFmt w:val="bullet"/>
      <w:pStyle w:val="11"/>
      <w:lvlText w:val="-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D7036B9"/>
    <w:multiLevelType w:val="singleLevel"/>
    <w:tmpl w:val="6D7036B9"/>
    <w:lvl w:ilvl="0" w:tentative="0">
      <w:start w:val="1"/>
      <w:numFmt w:val="decimal"/>
      <w:pStyle w:val="21"/>
      <w:lvlText w:val="[%1] "/>
      <w:legacy w:legacy="1" w:legacySpace="0" w:legacyIndent="284"/>
      <w:lvlJc w:val="left"/>
      <w:pPr>
        <w:ind w:left="284" w:hanging="284"/>
      </w:pPr>
      <w:rPr>
        <w:rFonts w:hint="default" w:ascii="Times New Roman" w:hAnsi="Times New Roman"/>
        <w:b w:val="0"/>
        <w:i w:val="0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21"/>
    <w:rsid w:val="00001CCD"/>
    <w:rsid w:val="0000724A"/>
    <w:rsid w:val="0001052E"/>
    <w:rsid w:val="00014BCD"/>
    <w:rsid w:val="000255CB"/>
    <w:rsid w:val="00027038"/>
    <w:rsid w:val="00035B0F"/>
    <w:rsid w:val="000A3C7E"/>
    <w:rsid w:val="000D5EE9"/>
    <w:rsid w:val="000D7058"/>
    <w:rsid w:val="000E3589"/>
    <w:rsid w:val="000E5BB6"/>
    <w:rsid w:val="000F3B40"/>
    <w:rsid w:val="000F4297"/>
    <w:rsid w:val="001021E6"/>
    <w:rsid w:val="00123F81"/>
    <w:rsid w:val="00132BA1"/>
    <w:rsid w:val="00143E0B"/>
    <w:rsid w:val="001801CF"/>
    <w:rsid w:val="00186382"/>
    <w:rsid w:val="00186745"/>
    <w:rsid w:val="001B70DA"/>
    <w:rsid w:val="001E301B"/>
    <w:rsid w:val="002028E5"/>
    <w:rsid w:val="002421D3"/>
    <w:rsid w:val="002548A9"/>
    <w:rsid w:val="00283F62"/>
    <w:rsid w:val="002855E9"/>
    <w:rsid w:val="002900DA"/>
    <w:rsid w:val="002A19A4"/>
    <w:rsid w:val="002C3642"/>
    <w:rsid w:val="002D5182"/>
    <w:rsid w:val="002D58A9"/>
    <w:rsid w:val="002E56D3"/>
    <w:rsid w:val="002F33FF"/>
    <w:rsid w:val="0031422F"/>
    <w:rsid w:val="0034782B"/>
    <w:rsid w:val="00356158"/>
    <w:rsid w:val="003568FE"/>
    <w:rsid w:val="003C0EF8"/>
    <w:rsid w:val="003C1929"/>
    <w:rsid w:val="003F3621"/>
    <w:rsid w:val="003F4D7B"/>
    <w:rsid w:val="004126E2"/>
    <w:rsid w:val="00427155"/>
    <w:rsid w:val="0043599E"/>
    <w:rsid w:val="00485F89"/>
    <w:rsid w:val="0049227F"/>
    <w:rsid w:val="004A36AB"/>
    <w:rsid w:val="004B42B7"/>
    <w:rsid w:val="004C57C7"/>
    <w:rsid w:val="004D7E30"/>
    <w:rsid w:val="004E0FB2"/>
    <w:rsid w:val="00500640"/>
    <w:rsid w:val="00506EF5"/>
    <w:rsid w:val="00507312"/>
    <w:rsid w:val="00521B69"/>
    <w:rsid w:val="00540DFE"/>
    <w:rsid w:val="00540F30"/>
    <w:rsid w:val="00592FF2"/>
    <w:rsid w:val="00597035"/>
    <w:rsid w:val="005C74B4"/>
    <w:rsid w:val="005D31DB"/>
    <w:rsid w:val="006550DB"/>
    <w:rsid w:val="006654DA"/>
    <w:rsid w:val="006E4C80"/>
    <w:rsid w:val="00701FEC"/>
    <w:rsid w:val="00706B58"/>
    <w:rsid w:val="00730C67"/>
    <w:rsid w:val="00730E88"/>
    <w:rsid w:val="00762C8C"/>
    <w:rsid w:val="00765D51"/>
    <w:rsid w:val="00766245"/>
    <w:rsid w:val="00777EFB"/>
    <w:rsid w:val="0079432B"/>
    <w:rsid w:val="007E14AC"/>
    <w:rsid w:val="00833125"/>
    <w:rsid w:val="00833B4D"/>
    <w:rsid w:val="0084163F"/>
    <w:rsid w:val="0084294B"/>
    <w:rsid w:val="00850EB5"/>
    <w:rsid w:val="008806AD"/>
    <w:rsid w:val="008A7ECF"/>
    <w:rsid w:val="00962C35"/>
    <w:rsid w:val="00984AE0"/>
    <w:rsid w:val="00985EE4"/>
    <w:rsid w:val="009F0E2B"/>
    <w:rsid w:val="00A22A5F"/>
    <w:rsid w:val="00A42F70"/>
    <w:rsid w:val="00A50DAA"/>
    <w:rsid w:val="00A550E6"/>
    <w:rsid w:val="00A602C0"/>
    <w:rsid w:val="00AA7817"/>
    <w:rsid w:val="00AB7F96"/>
    <w:rsid w:val="00AE5054"/>
    <w:rsid w:val="00B01C2E"/>
    <w:rsid w:val="00B15F99"/>
    <w:rsid w:val="00B175A2"/>
    <w:rsid w:val="00B23F75"/>
    <w:rsid w:val="00BC6BAE"/>
    <w:rsid w:val="00BD05C7"/>
    <w:rsid w:val="00BE2048"/>
    <w:rsid w:val="00BF1C6C"/>
    <w:rsid w:val="00C2103A"/>
    <w:rsid w:val="00C95FC8"/>
    <w:rsid w:val="00D13AF0"/>
    <w:rsid w:val="00D2092D"/>
    <w:rsid w:val="00D2158F"/>
    <w:rsid w:val="00DA54CF"/>
    <w:rsid w:val="00DE5104"/>
    <w:rsid w:val="00E00CAF"/>
    <w:rsid w:val="00E07B38"/>
    <w:rsid w:val="00E24C7A"/>
    <w:rsid w:val="00E37443"/>
    <w:rsid w:val="00E8522D"/>
    <w:rsid w:val="00EB41BB"/>
    <w:rsid w:val="00EB4893"/>
    <w:rsid w:val="00EE45B6"/>
    <w:rsid w:val="00F13269"/>
    <w:rsid w:val="00F20CFC"/>
    <w:rsid w:val="00F33B2B"/>
    <w:rsid w:val="00F40E17"/>
    <w:rsid w:val="00F45912"/>
    <w:rsid w:val="00F459E8"/>
    <w:rsid w:val="00F70026"/>
    <w:rsid w:val="00F7638F"/>
    <w:rsid w:val="00F97E4E"/>
    <w:rsid w:val="00FB0264"/>
    <w:rsid w:val="00FB6833"/>
    <w:rsid w:val="00FC0684"/>
    <w:rsid w:val="00FC7BCF"/>
    <w:rsid w:val="3FF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18"/>
      <w:szCs w:val="20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uiPriority w:val="0"/>
    <w:rPr>
      <w:rFonts w:ascii="Arial" w:hAnsi="Arial"/>
      <w:b/>
      <w:sz w:val="14"/>
    </w:rPr>
  </w:style>
  <w:style w:type="paragraph" w:styleId="5">
    <w:name w:val="Balloon Text"/>
    <w:basedOn w:val="1"/>
    <w:link w:val="1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Cs w:val="18"/>
      <w14:textFill>
        <w14:solidFill>
          <w14:schemeClr w14:val="accent1"/>
        </w14:solidFill>
      </w14:textFill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536"/>
      </w:tabs>
      <w:jc w:val="center"/>
    </w:pPr>
    <w:rPr>
      <w:sz w:val="16"/>
    </w:rPr>
  </w:style>
  <w:style w:type="paragraph" w:styleId="8">
    <w:name w:val="Body Text"/>
    <w:basedOn w:val="1"/>
    <w:link w:val="15"/>
    <w:qFormat/>
    <w:uiPriority w:val="0"/>
    <w:pPr>
      <w:ind w:firstLine="340"/>
    </w:pPr>
  </w:style>
  <w:style w:type="paragraph" w:styleId="9">
    <w:name w:val="table of authorities"/>
    <w:basedOn w:val="1"/>
    <w:next w:val="1"/>
    <w:semiHidden/>
    <w:unhideWhenUsed/>
    <w:qFormat/>
    <w:uiPriority w:val="99"/>
    <w:pPr>
      <w:ind w:left="180" w:hanging="180"/>
    </w:pPr>
  </w:style>
  <w:style w:type="paragraph" w:styleId="10">
    <w:name w:val="footer"/>
    <w:basedOn w:val="1"/>
    <w:link w:val="17"/>
    <w:qFormat/>
    <w:uiPriority w:val="0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paragraph" w:styleId="11">
    <w:name w:val="List"/>
    <w:basedOn w:val="8"/>
    <w:qFormat/>
    <w:uiPriority w:val="0"/>
    <w:pPr>
      <w:numPr>
        <w:ilvl w:val="0"/>
        <w:numId w:val="1"/>
      </w:numPr>
    </w:p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sz w:val="24"/>
      <w:szCs w:val="24"/>
    </w:rPr>
  </w:style>
  <w:style w:type="table" w:styleId="13">
    <w:name w:val="Table Grid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Автор"/>
    <w:basedOn w:val="1"/>
    <w:next w:val="8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character" w:customStyle="1" w:styleId="15">
    <w:name w:val="Body Text Char"/>
    <w:basedOn w:val="2"/>
    <w:link w:val="8"/>
    <w:qFormat/>
    <w:uiPriority w:val="0"/>
    <w:rPr>
      <w:rFonts w:ascii="Times New Roman" w:hAnsi="Times New Roman" w:eastAsia="Times New Roman" w:cs="Times New Roman"/>
      <w:sz w:val="18"/>
      <w:szCs w:val="20"/>
      <w:lang w:eastAsia="ru-RU"/>
    </w:rPr>
  </w:style>
  <w:style w:type="character" w:customStyle="1" w:styleId="16">
    <w:name w:val="Header Char"/>
    <w:basedOn w:val="2"/>
    <w:link w:val="7"/>
    <w:qFormat/>
    <w:uiPriority w:val="99"/>
    <w:rPr>
      <w:rFonts w:ascii="Times New Roman" w:hAnsi="Times New Roman" w:eastAsia="Times New Roman" w:cs="Times New Roman"/>
      <w:sz w:val="16"/>
      <w:szCs w:val="20"/>
      <w:lang w:eastAsia="ru-RU"/>
    </w:rPr>
  </w:style>
  <w:style w:type="character" w:customStyle="1" w:styleId="17">
    <w:name w:val="Footer Char"/>
    <w:basedOn w:val="2"/>
    <w:link w:val="10"/>
    <w:uiPriority w:val="0"/>
    <w:rPr>
      <w:rFonts w:ascii="Arial" w:hAnsi="Arial" w:eastAsia="Times New Roman" w:cs="Times New Roman"/>
      <w:sz w:val="18"/>
      <w:szCs w:val="20"/>
      <w:lang w:eastAsia="ru-RU"/>
    </w:rPr>
  </w:style>
  <w:style w:type="paragraph" w:customStyle="1" w:styleId="18">
    <w:name w:val="Фирма"/>
    <w:basedOn w:val="1"/>
    <w:next w:val="8"/>
    <w:qFormat/>
    <w:uiPriority w:val="0"/>
    <w:pPr>
      <w:keepNext/>
      <w:spacing w:after="80"/>
      <w:jc w:val="center"/>
    </w:pPr>
    <w:rPr>
      <w:i/>
    </w:rPr>
  </w:style>
  <w:style w:type="character" w:customStyle="1" w:styleId="19">
    <w:name w:val="Balloon Text Char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styleId="20">
    <w:name w:val="Placeholder Text"/>
    <w:basedOn w:val="2"/>
    <w:semiHidden/>
    <w:uiPriority w:val="99"/>
    <w:rPr>
      <w:color w:val="808080"/>
    </w:rPr>
  </w:style>
  <w:style w:type="paragraph" w:customStyle="1" w:styleId="21">
    <w:name w:val="Ссылки"/>
    <w:basedOn w:val="9"/>
    <w:link w:val="22"/>
    <w:qFormat/>
    <w:uiPriority w:val="0"/>
    <w:pPr>
      <w:numPr>
        <w:ilvl w:val="0"/>
        <w:numId w:val="2"/>
      </w:numPr>
      <w:ind w:left="340" w:hanging="340"/>
      <w:jc w:val="left"/>
    </w:pPr>
  </w:style>
  <w:style w:type="character" w:customStyle="1" w:styleId="22">
    <w:name w:val="Ссылки Знак"/>
    <w:basedOn w:val="2"/>
    <w:link w:val="21"/>
    <w:qFormat/>
    <w:uiPriority w:val="0"/>
    <w:rPr>
      <w:rFonts w:ascii="Times New Roman" w:hAnsi="Times New Roman" w:eastAsia="Times New Roman" w:cs="Times New Roman"/>
      <w:sz w:val="18"/>
      <w:szCs w:val="20"/>
      <w:lang w:eastAsia="ru-RU"/>
    </w:rPr>
  </w:style>
  <w:style w:type="paragraph" w:customStyle="1" w:styleId="23">
    <w:name w:val="Формула"/>
    <w:basedOn w:val="1"/>
    <w:next w:val="1"/>
    <w:qFormat/>
    <w:uiPriority w:val="0"/>
    <w:pPr>
      <w:tabs>
        <w:tab w:val="center" w:pos="3345"/>
        <w:tab w:val="right" w:pos="6691"/>
      </w:tabs>
      <w:spacing w:before="80" w:after="80"/>
      <w:jc w:val="left"/>
    </w:pPr>
    <w:rPr>
      <w:i/>
      <w:spacing w:val="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960</Words>
  <Characters>5478</Characters>
  <Lines>45</Lines>
  <Paragraphs>12</Paragraphs>
  <TotalTime>5</TotalTime>
  <ScaleCrop>false</ScaleCrop>
  <LinksUpToDate>false</LinksUpToDate>
  <CharactersWithSpaces>6426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2022-06-10T09:55:00Z</dcterms:created>
  <dc:creator>Semen</dc:creator>
  <cp:lastModifiedBy>Eugene</cp:lastModifiedBy>
  <dcterms:modified xsi:type="dcterms:W3CDTF">2023-06-13T18:12:31Z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F31D15E02D6A400CAFDA30581BF4BD6C</vt:lpwstr>
  </property>
</Properties>
</file>