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84"/>
        <w:gridCol w:w="8253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08" w:dyaOrig="1252">
                <v:rect xmlns:o="urn:schemas-microsoft-com:office:office" xmlns:v="urn:schemas-microsoft-com:vml" id="rectole0000000000" style="width:55.400000pt;height:62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2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Министерство науки и высшего образования Российской Федерации Мытищинский филиал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Федерального государственного бюджетного образовательного учреждение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высшего образования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Московский государственный технический университет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имени Н.Э. Баумана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национальный исследовательский университет)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МФ МГТУ им. Н.Э. Баумана)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ФАКУЛЬТЕТ 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космический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К-3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отчет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  <w:t xml:space="preserve">К   ЛАБОРАТОРНОЙ   РАБОТЕ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b/>
          <w:i/>
          <w:color w:val="auto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  <w:t xml:space="preserve">3.9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Cambria" w:hAnsi="Cambria" w:cs="Cambria" w:eastAsia="Cambria"/>
          <w:color w:val="auto"/>
          <w:spacing w:val="2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i/>
          <w:color w:val="FFFFFF"/>
          <w:spacing w:val="0"/>
          <w:position w:val="0"/>
          <w:sz w:val="40"/>
          <w:shd w:fill="auto" w:val="clear"/>
        </w:rPr>
        <w:t xml:space="preserve">________________________</w:t>
      </w:r>
      <w:r>
        <w:rPr>
          <w:rFonts w:ascii="Cambria" w:hAnsi="Cambria" w:cs="Cambria" w:eastAsia="Cambria"/>
          <w:b/>
          <w:color w:val="auto"/>
          <w:spacing w:val="20"/>
          <w:position w:val="0"/>
          <w:sz w:val="3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20"/>
          <w:position w:val="0"/>
          <w:sz w:val="32"/>
          <w:shd w:fill="auto" w:val="clear"/>
        </w:rPr>
        <w:t xml:space="preserve">по ДИСЦИПЛИНЕ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Сети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6"/>
          <w:shd w:fill="auto" w:val="clear"/>
        </w:rPr>
        <w:t xml:space="preserve"> эвм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и телекоммуникации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 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К3-73Б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</w:t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4"/>
          <w:shd w:fill="auto" w:val="clear"/>
        </w:rPr>
        <w:t xml:space="preserve">_________________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Ярославцев Егор Викторович</w:t>
      </w:r>
    </w:p>
    <w:p>
      <w:pPr>
        <w:spacing w:before="0" w:after="0" w:line="240"/>
        <w:ind w:right="565" w:left="709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Группа)</w:t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18"/>
          <w:shd w:fill="auto" w:val="clear"/>
        </w:rPr>
        <w:t xml:space="preserve">         (Подпись, дата)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Преподаватель</w:t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4"/>
          <w:shd w:fill="auto" w:val="clear"/>
        </w:rPr>
        <w:t xml:space="preserve">_________________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И.И. Гизбрехт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______ </w:t>
      </w:r>
    </w:p>
    <w:p>
      <w:pPr>
        <w:spacing w:before="0" w:after="0" w:line="240"/>
        <w:ind w:right="565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18"/>
          <w:shd w:fill="auto" w:val="clear"/>
        </w:rPr>
        <w:t xml:space="preserve">Подпись, дата)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2021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Выполнение лабораторной работы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Выполним стандартное сканирование сети с помощью утилиты nmap, используя следующую команду: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nmap -T4 -A -v 192.168.1.1/24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Аргумент -A используется для агрессивного сканирования, он включает определение ОС, определение версий, использование стандартных скриптов для сканирования и трассировку. Аргумент -T4 используется для более быстрого выполнения, -v для более подробного вывода. Так как вывод довольно длинный, то можно воспользоваться графическим интерфейсом Zenmap и посмотреть результаты в графическом виде: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251" w:dyaOrig="6833">
          <v:rect xmlns:o="urn:schemas-microsoft-com:office:office" xmlns:v="urn:schemas-microsoft-com:vml" id="rectole0000000001" style="width:462.550000pt;height:341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745" w:dyaOrig="5189">
          <v:rect xmlns:o="urn:schemas-microsoft-com:office:office" xmlns:v="urn:schemas-microsoft-com:vml" id="rectole0000000002" style="width:387.250000pt;height:259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251" w:dyaOrig="4915">
          <v:rect xmlns:o="urn:schemas-microsoft-com:office:office" xmlns:v="urn:schemas-microsoft-com:vml" id="rectole0000000003" style="width:462.550000pt;height:245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видно из рисунков, была получена подробная информация об узлах в сети: информация о портах и сервисах, информация об ОС, топология сети.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Утилита nmap имеет много опций, с помощью которых можно указать способ сканирования (TCP SYN, TCP connect, TCP ACK, UDP и проч.), параметры сканирования, параметры обнаружения сервисов, версий, ОС. Также nmap имеет мощный движок скриптов (NSE), который позволяет запускать различные скрипты, в т. ч. пользовательские.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Выполним сканирование с помощью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«10-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Страйк: Сканирование сети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этом будем использовать все доступные способы обнаружения хостов (ICMP, SNMP, популярные порты TCP, ARP):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390" w:dyaOrig="5441">
          <v:rect xmlns:o="urn:schemas-microsoft-com:office:office" xmlns:v="urn:schemas-microsoft-com:vml" id="rectole0000000004" style="width:369.500000pt;height:272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401" w:dyaOrig="5448">
          <v:rect xmlns:o="urn:schemas-microsoft-com:office:office" xmlns:v="urn:schemas-microsoft-com:vml" id="rectole0000000005" style="width:370.050000pt;height:272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результате были найдены все узлы сети и некоторая дополнительная информация о них: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251" w:dyaOrig="6811">
          <v:rect xmlns:o="urn:schemas-microsoft-com:office:office" xmlns:v="urn:schemas-microsoft-com:vml" id="rectole0000000006" style="width:462.550000pt;height:340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