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1A629" w14:textId="28430003" w:rsidR="0079502E" w:rsidRPr="002A0B6D" w:rsidRDefault="0079502E" w:rsidP="002A0B6D">
      <w:pPr>
        <w:pStyle w:val="Heading1"/>
        <w:spacing w:line="360" w:lineRule="auto"/>
        <w:jc w:val="both"/>
        <w:rPr>
          <w:rFonts w:ascii="Times New Roman" w:hAnsi="Times New Roman" w:cs="Times New Roman"/>
          <w:b/>
          <w:bCs/>
          <w:color w:val="000000" w:themeColor="text1"/>
          <w:sz w:val="24"/>
          <w:szCs w:val="24"/>
          <w:lang w:val="pt-BR"/>
        </w:rPr>
      </w:pPr>
      <w:r w:rsidRPr="00187208">
        <w:rPr>
          <w:rFonts w:ascii="Times New Roman" w:hAnsi="Times New Roman" w:cs="Times New Roman"/>
          <w:b/>
          <w:bCs/>
          <w:color w:val="000000" w:themeColor="text1"/>
          <w:sz w:val="24"/>
          <w:szCs w:val="24"/>
          <w:lang w:val="pt-BR"/>
        </w:rPr>
        <w:t>3. Metodologia</w:t>
      </w:r>
    </w:p>
    <w:p w14:paraId="205A427D" w14:textId="6C1D863B" w:rsidR="0079502E" w:rsidRPr="00187208" w:rsidRDefault="0079502E" w:rsidP="00187208">
      <w:pPr>
        <w:spacing w:line="360" w:lineRule="auto"/>
        <w:jc w:val="both"/>
        <w:rPr>
          <w:rFonts w:ascii="Times New Roman" w:hAnsi="Times New Roman" w:cs="Times New Roman"/>
          <w:sz w:val="24"/>
          <w:szCs w:val="24"/>
          <w:lang w:val="pt-BR"/>
        </w:rPr>
      </w:pPr>
      <w:r w:rsidRPr="00187208">
        <w:rPr>
          <w:rFonts w:ascii="Times New Roman" w:hAnsi="Times New Roman" w:cs="Times New Roman"/>
          <w:b/>
          <w:bCs/>
          <w:sz w:val="24"/>
          <w:szCs w:val="24"/>
          <w:lang w:val="pt-BR"/>
        </w:rPr>
        <w:tab/>
      </w:r>
      <w:r w:rsidRPr="00187208">
        <w:rPr>
          <w:rFonts w:ascii="Times New Roman" w:hAnsi="Times New Roman" w:cs="Times New Roman"/>
          <w:sz w:val="24"/>
          <w:szCs w:val="24"/>
          <w:lang w:val="pt-BR"/>
        </w:rPr>
        <w:t xml:space="preserve">Nessa sessão, vamos apresentar a forma como os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ortfólios</w:t>
      </w:r>
      <w:r w:rsidRPr="00187208">
        <w:rPr>
          <w:rFonts w:ascii="Times New Roman" w:hAnsi="Times New Roman" w:cs="Times New Roman"/>
          <w:sz w:val="24"/>
          <w:szCs w:val="24"/>
          <w:lang w:val="pt-BR"/>
        </w:rPr>
        <w:t xml:space="preserve"> usados foram calculados, discutir os desafios do procedimento e apresentar possíveis melhorias ao método atual de cálculo.</w:t>
      </w:r>
    </w:p>
    <w:p w14:paraId="0265F6C9" w14:textId="2F1E4FC4" w:rsidR="0087104F" w:rsidRPr="00187208" w:rsidRDefault="0087104F" w:rsidP="00187208">
      <w:pPr>
        <w:spacing w:line="360" w:lineRule="auto"/>
        <w:jc w:val="both"/>
        <w:rPr>
          <w:rFonts w:ascii="Times New Roman" w:hAnsi="Times New Roman" w:cs="Times New Roman"/>
          <w:sz w:val="24"/>
          <w:szCs w:val="24"/>
          <w:lang w:val="pt-BR"/>
        </w:rPr>
      </w:pPr>
      <w:r w:rsidRPr="00187208">
        <w:rPr>
          <w:rFonts w:ascii="Times New Roman" w:hAnsi="Times New Roman" w:cs="Times New Roman"/>
          <w:b/>
          <w:bCs/>
          <w:sz w:val="24"/>
          <w:szCs w:val="24"/>
          <w:lang w:val="pt-BR"/>
        </w:rPr>
        <w:tab/>
      </w:r>
      <w:r w:rsidRPr="00187208">
        <w:rPr>
          <w:rFonts w:ascii="Times New Roman" w:hAnsi="Times New Roman" w:cs="Times New Roman"/>
          <w:sz w:val="24"/>
          <w:szCs w:val="24"/>
          <w:lang w:val="pt-BR"/>
        </w:rPr>
        <w:t>Seguindo o método já estabelecido na literatura (</w:t>
      </w:r>
      <w:proofErr w:type="spellStart"/>
      <w:r w:rsidRPr="00187208">
        <w:rPr>
          <w:rFonts w:ascii="Times New Roman" w:hAnsi="Times New Roman" w:cs="Times New Roman"/>
          <w:sz w:val="24"/>
          <w:szCs w:val="24"/>
          <w:lang w:val="pt-BR"/>
        </w:rPr>
        <w:t>Newbould</w:t>
      </w:r>
      <w:proofErr w:type="spellEnd"/>
      <w:r w:rsidRPr="00187208">
        <w:rPr>
          <w:rFonts w:ascii="Times New Roman" w:hAnsi="Times New Roman" w:cs="Times New Roman"/>
          <w:sz w:val="24"/>
          <w:szCs w:val="24"/>
          <w:lang w:val="pt-BR"/>
        </w:rPr>
        <w:t xml:space="preserve"> e </w:t>
      </w:r>
      <w:proofErr w:type="spellStart"/>
      <w:r w:rsidRPr="00187208">
        <w:rPr>
          <w:rFonts w:ascii="Times New Roman" w:hAnsi="Times New Roman" w:cs="Times New Roman"/>
          <w:sz w:val="24"/>
          <w:szCs w:val="24"/>
          <w:lang w:val="pt-BR"/>
        </w:rPr>
        <w:t>Poon</w:t>
      </w:r>
      <w:proofErr w:type="spellEnd"/>
      <w:r w:rsidRPr="00187208">
        <w:rPr>
          <w:rFonts w:ascii="Times New Roman" w:hAnsi="Times New Roman" w:cs="Times New Roman"/>
          <w:sz w:val="24"/>
          <w:szCs w:val="24"/>
          <w:lang w:val="pt-BR"/>
        </w:rPr>
        <w:t xml:space="preserve"> (1993), Fisher e </w:t>
      </w:r>
      <w:proofErr w:type="spellStart"/>
      <w:r w:rsidRPr="00187208">
        <w:rPr>
          <w:rFonts w:ascii="Times New Roman" w:hAnsi="Times New Roman" w:cs="Times New Roman"/>
          <w:sz w:val="24"/>
          <w:szCs w:val="24"/>
          <w:lang w:val="pt-BR"/>
        </w:rPr>
        <w:t>Lorie</w:t>
      </w:r>
      <w:proofErr w:type="spellEnd"/>
      <w:r w:rsidRPr="00187208">
        <w:rPr>
          <w:rFonts w:ascii="Times New Roman" w:hAnsi="Times New Roman" w:cs="Times New Roman"/>
          <w:sz w:val="24"/>
          <w:szCs w:val="24"/>
          <w:lang w:val="pt-BR"/>
        </w:rPr>
        <w:t xml:space="preserve"> (1968), entre outros), calculamos para cada tamanho de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w:t>
      </w:r>
      <w:r w:rsidRPr="00187208">
        <w:rPr>
          <w:rFonts w:ascii="Times New Roman" w:hAnsi="Times New Roman" w:cs="Times New Roman"/>
          <w:sz w:val="24"/>
          <w:szCs w:val="24"/>
          <w:lang w:val="pt-BR"/>
        </w:rPr>
        <w:t xml:space="preserve"> possível diversos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ortfólios</w:t>
      </w:r>
      <w:r w:rsidRPr="00187208">
        <w:rPr>
          <w:rFonts w:ascii="Times New Roman" w:hAnsi="Times New Roman" w:cs="Times New Roman"/>
          <w:sz w:val="24"/>
          <w:szCs w:val="24"/>
          <w:lang w:val="pt-BR"/>
        </w:rPr>
        <w:t xml:space="preserve"> </w:t>
      </w:r>
      <w:r w:rsidR="00187208">
        <w:rPr>
          <w:rFonts w:ascii="Times New Roman" w:hAnsi="Times New Roman" w:cs="Times New Roman"/>
          <w:sz w:val="24"/>
          <w:szCs w:val="24"/>
          <w:lang w:val="pt-BR"/>
        </w:rPr>
        <w:t>aleatórios</w:t>
      </w:r>
      <w:r w:rsidRPr="00187208">
        <w:rPr>
          <w:rFonts w:ascii="Times New Roman" w:hAnsi="Times New Roman" w:cs="Times New Roman"/>
          <w:sz w:val="24"/>
          <w:szCs w:val="24"/>
          <w:lang w:val="pt-BR"/>
        </w:rPr>
        <w:t>,</w:t>
      </w:r>
      <w:r w:rsidR="00187208">
        <w:rPr>
          <w:rFonts w:ascii="Times New Roman" w:hAnsi="Times New Roman" w:cs="Times New Roman"/>
          <w:sz w:val="24"/>
          <w:szCs w:val="24"/>
          <w:lang w:val="pt-BR"/>
        </w:rPr>
        <w:t xml:space="preserve"> e, para cada um deles, calculamos estatísticas de retorno e risco (no caso mais simples, usamos desvio padrão do retorno como métrica de risco). Agrupando os resultados, calculamos valores de interesse para a métrica de risco escolhida, como a mediana, os valores a um desvio padrão de distância da mediana e os valores críticos para que englobemos 95% dos resultados obtidos. Essas</w:t>
      </w:r>
      <w:r w:rsidRPr="00187208">
        <w:rPr>
          <w:rFonts w:ascii="Times New Roman" w:hAnsi="Times New Roman" w:cs="Times New Roman"/>
          <w:sz w:val="24"/>
          <w:szCs w:val="24"/>
          <w:lang w:val="pt-BR"/>
        </w:rPr>
        <w:t xml:space="preserve"> estatísticas devem se aproximar das populacionais</w:t>
      </w:r>
      <w:r w:rsidR="00187208">
        <w:rPr>
          <w:rFonts w:ascii="Times New Roman" w:hAnsi="Times New Roman" w:cs="Times New Roman"/>
          <w:sz w:val="24"/>
          <w:szCs w:val="24"/>
          <w:lang w:val="pt-BR"/>
        </w:rPr>
        <w:t>, como veremos</w:t>
      </w:r>
      <w:r w:rsidRPr="00187208">
        <w:rPr>
          <w:rFonts w:ascii="Times New Roman" w:hAnsi="Times New Roman" w:cs="Times New Roman"/>
          <w:sz w:val="24"/>
          <w:szCs w:val="24"/>
          <w:lang w:val="pt-BR"/>
        </w:rPr>
        <w:t xml:space="preserve">. A amostragem é necessária pois tentar calcular todos os </w:t>
      </w:r>
      <w:r w:rsidR="00681E2E" w:rsidRPr="00187208">
        <w:rPr>
          <w:rFonts w:ascii="Times New Roman" w:hAnsi="Times New Roman" w:cs="Times New Roman"/>
          <w:sz w:val="24"/>
          <w:szCs w:val="24"/>
          <w:lang w:val="pt-BR"/>
        </w:rPr>
        <w:t>Portfólios</w:t>
      </w:r>
      <w:r w:rsidRPr="00187208">
        <w:rPr>
          <w:rFonts w:ascii="Times New Roman" w:hAnsi="Times New Roman" w:cs="Times New Roman"/>
          <w:sz w:val="24"/>
          <w:szCs w:val="24"/>
          <w:lang w:val="pt-BR"/>
        </w:rPr>
        <w:t xml:space="preserve"> possíveis leva, necessariamente, a um problema computacional. Em um universo de 60 ações, por exemplo, o total de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ortfólios</w:t>
      </w:r>
      <w:r w:rsidRPr="00187208">
        <w:rPr>
          <w:rFonts w:ascii="Times New Roman" w:hAnsi="Times New Roman" w:cs="Times New Roman"/>
          <w:sz w:val="24"/>
          <w:szCs w:val="24"/>
          <w:lang w:val="pt-BR"/>
        </w:rPr>
        <w:t xml:space="preserve"> possíveis (sem que se leve em considerações estruturas de pesos diferentes) é um pouco maior do que 1.1 * 10¹‌⁸. Calcular retornos e desvios padrões dessas quantidades de objetos não é factível com os recursos de que dispomos. Para que tenhamos maior confiança em nossos dados, repetimos os exercícios para amostras de tamanhos diferentes (isso é, primeiro usamos apenas 50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ortfólios</w:t>
      </w:r>
      <w:r w:rsidRPr="00187208">
        <w:rPr>
          <w:rFonts w:ascii="Times New Roman" w:hAnsi="Times New Roman" w:cs="Times New Roman"/>
          <w:sz w:val="24"/>
          <w:szCs w:val="24"/>
          <w:lang w:val="pt-BR"/>
        </w:rPr>
        <w:t xml:space="preserve"> por tamanho de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w:t>
      </w:r>
      <w:r w:rsidRPr="00187208">
        <w:rPr>
          <w:rFonts w:ascii="Times New Roman" w:hAnsi="Times New Roman" w:cs="Times New Roman"/>
          <w:sz w:val="24"/>
          <w:szCs w:val="24"/>
          <w:lang w:val="pt-BR"/>
        </w:rPr>
        <w:t xml:space="preserve"> possível, progredindo para 100, 5.000, 50.000 e, por fim, 150.000</w:t>
      </w:r>
      <w:r w:rsidR="002A0B6D">
        <w:rPr>
          <w:rFonts w:ascii="Times New Roman" w:hAnsi="Times New Roman" w:cs="Times New Roman"/>
          <w:sz w:val="24"/>
          <w:szCs w:val="24"/>
          <w:lang w:val="pt-BR"/>
        </w:rPr>
        <w:t>. Entre cada exercício, os portfólios utilizados não são reciclados nem excluídos; cada amostra é gerada independentemente das anteriores, de forma que os 100 portfólios aleatórios de 18 ações podem ou não englobar os 50 gerados anteriormente</w:t>
      </w:r>
      <w:r w:rsidRPr="00187208">
        <w:rPr>
          <w:rFonts w:ascii="Times New Roman" w:hAnsi="Times New Roman" w:cs="Times New Roman"/>
          <w:sz w:val="24"/>
          <w:szCs w:val="24"/>
          <w:lang w:val="pt-BR"/>
        </w:rPr>
        <w:t xml:space="preserve">). Em todos os casos, há tamanhos de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ortfólios</w:t>
      </w:r>
      <w:r w:rsidRPr="00187208">
        <w:rPr>
          <w:rFonts w:ascii="Times New Roman" w:hAnsi="Times New Roman" w:cs="Times New Roman"/>
          <w:sz w:val="24"/>
          <w:szCs w:val="24"/>
          <w:lang w:val="pt-BR"/>
        </w:rPr>
        <w:t xml:space="preserve"> para os quais é possível se calcular o total da população</w:t>
      </w:r>
      <w:r w:rsidR="00DF33E9" w:rsidRPr="00187208">
        <w:rPr>
          <w:rFonts w:ascii="Times New Roman" w:hAnsi="Times New Roman" w:cs="Times New Roman"/>
          <w:sz w:val="24"/>
          <w:szCs w:val="24"/>
          <w:lang w:val="pt-BR"/>
        </w:rPr>
        <w:t xml:space="preserve">; quando o tamanho de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w:t>
      </w:r>
      <w:r w:rsidR="00DF33E9" w:rsidRPr="00187208">
        <w:rPr>
          <w:rFonts w:ascii="Times New Roman" w:hAnsi="Times New Roman" w:cs="Times New Roman"/>
          <w:sz w:val="24"/>
          <w:szCs w:val="24"/>
          <w:lang w:val="pt-BR"/>
        </w:rPr>
        <w:t xml:space="preserve"> atinge o total do mercado, por exemplo, só há um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w:t>
      </w:r>
      <w:r w:rsidR="00DF33E9" w:rsidRPr="00187208">
        <w:rPr>
          <w:rFonts w:ascii="Times New Roman" w:hAnsi="Times New Roman" w:cs="Times New Roman"/>
          <w:sz w:val="24"/>
          <w:szCs w:val="24"/>
          <w:lang w:val="pt-BR"/>
        </w:rPr>
        <w:t xml:space="preserve"> possível. Similarmente, para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ortfólios</w:t>
      </w:r>
      <w:r w:rsidR="00DF33E9" w:rsidRPr="00187208">
        <w:rPr>
          <w:rFonts w:ascii="Times New Roman" w:hAnsi="Times New Roman" w:cs="Times New Roman"/>
          <w:sz w:val="24"/>
          <w:szCs w:val="24"/>
          <w:lang w:val="pt-BR"/>
        </w:rPr>
        <w:t xml:space="preserve"> de tamanho igual a 1, a população de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ortfólios</w:t>
      </w:r>
      <w:r w:rsidR="00DF33E9" w:rsidRPr="00187208">
        <w:rPr>
          <w:rFonts w:ascii="Times New Roman" w:hAnsi="Times New Roman" w:cs="Times New Roman"/>
          <w:sz w:val="24"/>
          <w:szCs w:val="24"/>
          <w:lang w:val="pt-BR"/>
        </w:rPr>
        <w:t xml:space="preserve"> possíveis é igual à quantidade de ativos disponíveis. Sempre que a população de </w:t>
      </w:r>
      <w:r w:rsidR="00187208">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ortfólios</w:t>
      </w:r>
      <w:r w:rsidR="00DF33E9" w:rsidRPr="00187208">
        <w:rPr>
          <w:rFonts w:ascii="Times New Roman" w:hAnsi="Times New Roman" w:cs="Times New Roman"/>
          <w:sz w:val="24"/>
          <w:szCs w:val="24"/>
          <w:lang w:val="pt-BR"/>
        </w:rPr>
        <w:t xml:space="preserve"> possíveis for menor do que o tamanho amostral selecionado, ela é utilizada.</w:t>
      </w:r>
    </w:p>
    <w:p w14:paraId="5E6B471B" w14:textId="6AEAFDF6" w:rsidR="00DF33E9" w:rsidRPr="00187208" w:rsidRDefault="00DF33E9" w:rsidP="00187208">
      <w:pPr>
        <w:spacing w:line="360" w:lineRule="auto"/>
        <w:ind w:firstLine="720"/>
        <w:jc w:val="both"/>
        <w:rPr>
          <w:rFonts w:ascii="Times New Roman" w:hAnsi="Times New Roman" w:cs="Times New Roman"/>
          <w:sz w:val="24"/>
          <w:szCs w:val="24"/>
          <w:lang w:val="pt-BR"/>
        </w:rPr>
      </w:pPr>
      <w:r w:rsidRPr="00187208">
        <w:rPr>
          <w:rFonts w:ascii="Times New Roman" w:hAnsi="Times New Roman" w:cs="Times New Roman"/>
          <w:sz w:val="24"/>
          <w:szCs w:val="24"/>
          <w:lang w:val="pt-BR"/>
        </w:rPr>
        <w:t>O uso de amostragem introduz um problema, no entanto, enunciado já por Markowitz (1952, tradução livre): “</w:t>
      </w:r>
      <w:proofErr w:type="gramStart"/>
      <w:r w:rsidRPr="00187208">
        <w:rPr>
          <w:rFonts w:ascii="Times New Roman" w:hAnsi="Times New Roman" w:cs="Times New Roman"/>
          <w:sz w:val="24"/>
          <w:szCs w:val="24"/>
          <w:lang w:val="pt-BR"/>
        </w:rPr>
        <w:t>[Essa</w:t>
      </w:r>
      <w:proofErr w:type="gramEnd"/>
      <w:r w:rsidRPr="00187208">
        <w:rPr>
          <w:rFonts w:ascii="Times New Roman" w:hAnsi="Times New Roman" w:cs="Times New Roman"/>
          <w:sz w:val="24"/>
          <w:szCs w:val="24"/>
          <w:lang w:val="pt-BR"/>
        </w:rPr>
        <w:t xml:space="preserve">] suposição, de que a lei dos grandes número se aplique a um </w:t>
      </w:r>
      <w:r w:rsidR="00681E2E" w:rsidRPr="00187208">
        <w:rPr>
          <w:rFonts w:ascii="Times New Roman" w:hAnsi="Times New Roman" w:cs="Times New Roman"/>
          <w:sz w:val="24"/>
          <w:szCs w:val="24"/>
          <w:lang w:val="pt-BR"/>
        </w:rPr>
        <w:t>Portfólio</w:t>
      </w:r>
      <w:r w:rsidRPr="00187208">
        <w:rPr>
          <w:rFonts w:ascii="Times New Roman" w:hAnsi="Times New Roman" w:cs="Times New Roman"/>
          <w:sz w:val="24"/>
          <w:szCs w:val="24"/>
          <w:lang w:val="pt-BR"/>
        </w:rPr>
        <w:t xml:space="preserve"> de ativos, não pode ser aceita. Os retornos de ativos são muito </w:t>
      </w:r>
      <w:proofErr w:type="spellStart"/>
      <w:r w:rsidRPr="00187208">
        <w:rPr>
          <w:rFonts w:ascii="Times New Roman" w:hAnsi="Times New Roman" w:cs="Times New Roman"/>
          <w:sz w:val="24"/>
          <w:szCs w:val="24"/>
          <w:lang w:val="pt-BR"/>
        </w:rPr>
        <w:t>intercorrelacionados</w:t>
      </w:r>
      <w:proofErr w:type="spellEnd"/>
      <w:r w:rsidRPr="00187208">
        <w:rPr>
          <w:rFonts w:ascii="Times New Roman" w:hAnsi="Times New Roman" w:cs="Times New Roman"/>
          <w:sz w:val="24"/>
          <w:szCs w:val="24"/>
          <w:lang w:val="pt-BR"/>
        </w:rPr>
        <w:t xml:space="preserve">. </w:t>
      </w:r>
      <w:r w:rsidRPr="00187208">
        <w:rPr>
          <w:rFonts w:ascii="Times New Roman" w:hAnsi="Times New Roman" w:cs="Times New Roman"/>
          <w:sz w:val="24"/>
          <w:szCs w:val="24"/>
          <w:lang w:val="pt-BR"/>
        </w:rPr>
        <w:lastRenderedPageBreak/>
        <w:t>Diversificação não é capaz de eliminar toda a variância”. Apesa</w:t>
      </w:r>
      <w:r w:rsidR="00A52A81" w:rsidRPr="00187208">
        <w:rPr>
          <w:rFonts w:ascii="Times New Roman" w:hAnsi="Times New Roman" w:cs="Times New Roman"/>
          <w:sz w:val="24"/>
          <w:szCs w:val="24"/>
          <w:lang w:val="pt-BR"/>
        </w:rPr>
        <w:t>r</w:t>
      </w:r>
      <w:r w:rsidRPr="00187208">
        <w:rPr>
          <w:rFonts w:ascii="Times New Roman" w:hAnsi="Times New Roman" w:cs="Times New Roman"/>
          <w:sz w:val="24"/>
          <w:szCs w:val="24"/>
          <w:lang w:val="pt-BR"/>
        </w:rPr>
        <w:t xml:space="preserve"> de Markowitz destacar a impossibilidade de se eliminar todo o risco, estamos mais interessados em outra consequência da inaplicabilidade da </w:t>
      </w:r>
      <w:r w:rsidR="004903C1">
        <w:rPr>
          <w:rFonts w:ascii="Times New Roman" w:hAnsi="Times New Roman" w:cs="Times New Roman"/>
          <w:sz w:val="24"/>
          <w:szCs w:val="24"/>
          <w:lang w:val="pt-BR"/>
        </w:rPr>
        <w:t>l</w:t>
      </w:r>
      <w:r w:rsidRPr="00187208">
        <w:rPr>
          <w:rFonts w:ascii="Times New Roman" w:hAnsi="Times New Roman" w:cs="Times New Roman"/>
          <w:sz w:val="24"/>
          <w:szCs w:val="24"/>
          <w:lang w:val="pt-BR"/>
        </w:rPr>
        <w:t xml:space="preserve">ei dos </w:t>
      </w:r>
      <w:r w:rsidR="004903C1">
        <w:rPr>
          <w:rFonts w:ascii="Times New Roman" w:hAnsi="Times New Roman" w:cs="Times New Roman"/>
          <w:sz w:val="24"/>
          <w:szCs w:val="24"/>
          <w:lang w:val="pt-BR"/>
        </w:rPr>
        <w:t>g</w:t>
      </w:r>
      <w:r w:rsidRPr="00187208">
        <w:rPr>
          <w:rFonts w:ascii="Times New Roman" w:hAnsi="Times New Roman" w:cs="Times New Roman"/>
          <w:sz w:val="24"/>
          <w:szCs w:val="24"/>
          <w:lang w:val="pt-BR"/>
        </w:rPr>
        <w:t xml:space="preserve">randes </w:t>
      </w:r>
      <w:r w:rsidR="004903C1">
        <w:rPr>
          <w:rFonts w:ascii="Times New Roman" w:hAnsi="Times New Roman" w:cs="Times New Roman"/>
          <w:sz w:val="24"/>
          <w:szCs w:val="24"/>
          <w:lang w:val="pt-BR"/>
        </w:rPr>
        <w:t>n</w:t>
      </w:r>
      <w:r w:rsidRPr="00187208">
        <w:rPr>
          <w:rFonts w:ascii="Times New Roman" w:hAnsi="Times New Roman" w:cs="Times New Roman"/>
          <w:sz w:val="24"/>
          <w:szCs w:val="24"/>
          <w:lang w:val="pt-BR"/>
        </w:rPr>
        <w:t xml:space="preserve">úmeros para </w:t>
      </w:r>
      <w:r w:rsidR="004903C1">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ortfólios</w:t>
      </w:r>
      <w:r w:rsidRPr="00187208">
        <w:rPr>
          <w:rFonts w:ascii="Times New Roman" w:hAnsi="Times New Roman" w:cs="Times New Roman"/>
          <w:sz w:val="24"/>
          <w:szCs w:val="24"/>
          <w:lang w:val="pt-BR"/>
        </w:rPr>
        <w:t xml:space="preserve">: não há garantias “automáticas” de que a média do desvio padrão dos retornos amostrais convirja para a populacional. Isso põe sob dúvida o método proposto acima, e amplamente reproduzido. </w:t>
      </w:r>
    </w:p>
    <w:p w14:paraId="6CCD33C5" w14:textId="1C2DB017" w:rsidR="00DF33E9" w:rsidRPr="00187208" w:rsidRDefault="00DF33E9" w:rsidP="00187208">
      <w:pPr>
        <w:spacing w:line="360" w:lineRule="auto"/>
        <w:ind w:firstLine="720"/>
        <w:jc w:val="both"/>
        <w:rPr>
          <w:rFonts w:ascii="Times New Roman" w:hAnsi="Times New Roman" w:cs="Times New Roman"/>
          <w:sz w:val="24"/>
          <w:szCs w:val="24"/>
          <w:lang w:val="pt-BR"/>
        </w:rPr>
      </w:pPr>
      <w:r w:rsidRPr="00187208">
        <w:rPr>
          <w:rFonts w:ascii="Times New Roman" w:hAnsi="Times New Roman" w:cs="Times New Roman"/>
          <w:sz w:val="24"/>
          <w:szCs w:val="24"/>
          <w:lang w:val="pt-BR"/>
        </w:rPr>
        <w:t xml:space="preserve">Contornamos essa questão de forma empírica: para cada tamanho de </w:t>
      </w:r>
      <w:r w:rsidR="00681E2E" w:rsidRPr="00187208">
        <w:rPr>
          <w:rFonts w:ascii="Times New Roman" w:hAnsi="Times New Roman" w:cs="Times New Roman"/>
          <w:sz w:val="24"/>
          <w:szCs w:val="24"/>
          <w:lang w:val="pt-BR"/>
        </w:rPr>
        <w:t>Portfólio</w:t>
      </w:r>
      <w:r w:rsidR="000B1F76" w:rsidRPr="00187208">
        <w:rPr>
          <w:rFonts w:ascii="Times New Roman" w:hAnsi="Times New Roman" w:cs="Times New Roman"/>
          <w:sz w:val="24"/>
          <w:szCs w:val="24"/>
          <w:lang w:val="pt-BR"/>
        </w:rPr>
        <w:t xml:space="preserve"> possível</w:t>
      </w:r>
      <w:r w:rsidRPr="00187208">
        <w:rPr>
          <w:rFonts w:ascii="Times New Roman" w:hAnsi="Times New Roman" w:cs="Times New Roman"/>
          <w:sz w:val="24"/>
          <w:szCs w:val="24"/>
          <w:lang w:val="pt-BR"/>
        </w:rPr>
        <w:t xml:space="preserve">, </w:t>
      </w:r>
      <w:r w:rsidR="000B1F76" w:rsidRPr="00187208">
        <w:rPr>
          <w:rFonts w:ascii="Times New Roman" w:hAnsi="Times New Roman" w:cs="Times New Roman"/>
          <w:sz w:val="24"/>
          <w:szCs w:val="24"/>
          <w:lang w:val="pt-BR"/>
        </w:rPr>
        <w:t>realizamos testes de normalidade sobre os resultados. Por construção, os testes de normalidade clássicos</w:t>
      </w:r>
      <w:r w:rsidR="00187208">
        <w:rPr>
          <w:rFonts w:ascii="Times New Roman" w:hAnsi="Times New Roman" w:cs="Times New Roman"/>
          <w:sz w:val="24"/>
          <w:szCs w:val="24"/>
          <w:lang w:val="pt-BR"/>
        </w:rPr>
        <w:t>, como o de Shapiro-Wilk</w:t>
      </w:r>
      <w:r w:rsidR="00401159">
        <w:rPr>
          <w:rFonts w:ascii="Times New Roman" w:hAnsi="Times New Roman" w:cs="Times New Roman"/>
          <w:sz w:val="24"/>
          <w:szCs w:val="24"/>
          <w:lang w:val="pt-BR"/>
        </w:rPr>
        <w:t>,</w:t>
      </w:r>
      <w:r w:rsidR="000B1F76" w:rsidRPr="00187208">
        <w:rPr>
          <w:rFonts w:ascii="Times New Roman" w:hAnsi="Times New Roman" w:cs="Times New Roman"/>
          <w:sz w:val="24"/>
          <w:szCs w:val="24"/>
          <w:lang w:val="pt-BR"/>
        </w:rPr>
        <w:t xml:space="preserve"> </w:t>
      </w:r>
      <w:r w:rsidR="00401159">
        <w:rPr>
          <w:rFonts w:ascii="Times New Roman" w:hAnsi="Times New Roman" w:cs="Times New Roman"/>
          <w:sz w:val="24"/>
          <w:szCs w:val="24"/>
          <w:lang w:val="pt-BR"/>
        </w:rPr>
        <w:t>enfrentam problemas</w:t>
      </w:r>
      <w:r w:rsidR="000B1F76" w:rsidRPr="00187208">
        <w:rPr>
          <w:rFonts w:ascii="Times New Roman" w:hAnsi="Times New Roman" w:cs="Times New Roman"/>
          <w:sz w:val="24"/>
          <w:szCs w:val="24"/>
          <w:lang w:val="pt-BR"/>
        </w:rPr>
        <w:t xml:space="preserve"> para </w:t>
      </w:r>
      <w:r w:rsidR="00401159">
        <w:rPr>
          <w:rFonts w:ascii="Times New Roman" w:hAnsi="Times New Roman" w:cs="Times New Roman"/>
          <w:sz w:val="24"/>
          <w:szCs w:val="24"/>
          <w:lang w:val="pt-BR"/>
        </w:rPr>
        <w:t xml:space="preserve">lidar com </w:t>
      </w:r>
      <w:r w:rsidR="000B1F76" w:rsidRPr="00187208">
        <w:rPr>
          <w:rFonts w:ascii="Times New Roman" w:hAnsi="Times New Roman" w:cs="Times New Roman"/>
          <w:sz w:val="24"/>
          <w:szCs w:val="24"/>
          <w:lang w:val="pt-BR"/>
        </w:rPr>
        <w:t>amostras muito grandes, visto que qualquer divergência em relação aos ideais teóricos de curtose e assimetria são considerados significativos</w:t>
      </w:r>
      <w:r w:rsidR="00401159">
        <w:rPr>
          <w:rFonts w:ascii="Times New Roman" w:hAnsi="Times New Roman" w:cs="Times New Roman"/>
          <w:sz w:val="24"/>
          <w:szCs w:val="24"/>
          <w:lang w:val="pt-BR"/>
        </w:rPr>
        <w:t>. Isso faz com que o resultado quase sempre seja que amostras não são normalmente distribuídas, mesmo quando a divergência é, para todos os efeitos, irrelevante</w:t>
      </w:r>
      <w:r w:rsidR="000B1F76" w:rsidRPr="00187208">
        <w:rPr>
          <w:rFonts w:ascii="Times New Roman" w:hAnsi="Times New Roman" w:cs="Times New Roman"/>
          <w:sz w:val="24"/>
          <w:szCs w:val="24"/>
          <w:lang w:val="pt-BR"/>
        </w:rPr>
        <w:t xml:space="preserve">. Para </w:t>
      </w:r>
      <w:r w:rsidR="00401159">
        <w:rPr>
          <w:rFonts w:ascii="Times New Roman" w:hAnsi="Times New Roman" w:cs="Times New Roman"/>
          <w:sz w:val="24"/>
          <w:szCs w:val="24"/>
          <w:lang w:val="pt-BR"/>
        </w:rPr>
        <w:t>tratar</w:t>
      </w:r>
      <w:r w:rsidR="000B1F76" w:rsidRPr="00187208">
        <w:rPr>
          <w:rFonts w:ascii="Times New Roman" w:hAnsi="Times New Roman" w:cs="Times New Roman"/>
          <w:sz w:val="24"/>
          <w:szCs w:val="24"/>
          <w:lang w:val="pt-BR"/>
        </w:rPr>
        <w:t xml:space="preserve"> </w:t>
      </w:r>
      <w:r w:rsidR="00401159">
        <w:rPr>
          <w:rFonts w:ascii="Times New Roman" w:hAnsi="Times New Roman" w:cs="Times New Roman"/>
          <w:sz w:val="24"/>
          <w:szCs w:val="24"/>
          <w:lang w:val="pt-BR"/>
        </w:rPr>
        <w:t>d</w:t>
      </w:r>
      <w:r w:rsidR="000B1F76" w:rsidRPr="00187208">
        <w:rPr>
          <w:rFonts w:ascii="Times New Roman" w:hAnsi="Times New Roman" w:cs="Times New Roman"/>
          <w:sz w:val="24"/>
          <w:szCs w:val="24"/>
          <w:lang w:val="pt-BR"/>
        </w:rPr>
        <w:t xml:space="preserve">isso, quando usamos amostras </w:t>
      </w:r>
      <w:r w:rsidR="00187208">
        <w:rPr>
          <w:rFonts w:ascii="Times New Roman" w:hAnsi="Times New Roman" w:cs="Times New Roman"/>
          <w:sz w:val="24"/>
          <w:szCs w:val="24"/>
          <w:lang w:val="pt-BR"/>
        </w:rPr>
        <w:t xml:space="preserve">cujos tamanhos fariam com que os testes de normalidade perdessem significado </w:t>
      </w:r>
      <w:r w:rsidR="000B1F76" w:rsidRPr="00187208">
        <w:rPr>
          <w:rFonts w:ascii="Times New Roman" w:hAnsi="Times New Roman" w:cs="Times New Roman"/>
          <w:sz w:val="24"/>
          <w:szCs w:val="24"/>
          <w:lang w:val="pt-BR"/>
        </w:rPr>
        <w:t xml:space="preserve">preferimos adotar uma forma </w:t>
      </w:r>
      <w:r w:rsidR="00401159">
        <w:rPr>
          <w:rFonts w:ascii="Times New Roman" w:hAnsi="Times New Roman" w:cs="Times New Roman"/>
          <w:sz w:val="24"/>
          <w:szCs w:val="24"/>
          <w:lang w:val="pt-BR"/>
        </w:rPr>
        <w:t xml:space="preserve">de testagem </w:t>
      </w:r>
      <w:r w:rsidR="000B1F76" w:rsidRPr="00187208">
        <w:rPr>
          <w:rFonts w:ascii="Times New Roman" w:hAnsi="Times New Roman" w:cs="Times New Roman"/>
          <w:sz w:val="24"/>
          <w:szCs w:val="24"/>
          <w:lang w:val="pt-BR"/>
        </w:rPr>
        <w:t>mais permissiva, que permite que ambos os momentos em questão sejam ligeiramente diferentes dos ideais</w:t>
      </w:r>
      <w:r w:rsidR="003B7CF0">
        <w:rPr>
          <w:rFonts w:ascii="Times New Roman" w:hAnsi="Times New Roman" w:cs="Times New Roman"/>
          <w:sz w:val="24"/>
          <w:szCs w:val="24"/>
          <w:lang w:val="pt-BR"/>
        </w:rPr>
        <w:t xml:space="preserve">. Especificamente, ao invés de testarmos que excesso de curtose e assimetria em relação à normal sejam iguais a zero, permitimos que ambos </w:t>
      </w:r>
      <w:r w:rsidR="00033B0F">
        <w:rPr>
          <w:rFonts w:ascii="Times New Roman" w:hAnsi="Times New Roman" w:cs="Times New Roman"/>
          <w:sz w:val="24"/>
          <w:szCs w:val="24"/>
          <w:lang w:val="pt-BR"/>
        </w:rPr>
        <w:t>sejam menores de que 1 em módulo</w:t>
      </w:r>
      <w:r w:rsidR="000B1F76" w:rsidRPr="00187208">
        <w:rPr>
          <w:rFonts w:ascii="Times New Roman" w:hAnsi="Times New Roman" w:cs="Times New Roman"/>
          <w:sz w:val="24"/>
          <w:szCs w:val="24"/>
          <w:lang w:val="pt-BR"/>
        </w:rPr>
        <w:t xml:space="preserve">. Produzimos também gráficos das distribuições empíricas (densidade de probabilidade, probabilidade acumulada e </w:t>
      </w:r>
      <w:proofErr w:type="spellStart"/>
      <w:r w:rsidR="000B1F76" w:rsidRPr="00187208">
        <w:rPr>
          <w:rFonts w:ascii="Times New Roman" w:hAnsi="Times New Roman" w:cs="Times New Roman"/>
          <w:sz w:val="24"/>
          <w:szCs w:val="24"/>
          <w:lang w:val="pt-BR"/>
        </w:rPr>
        <w:t>quantil-quantil</w:t>
      </w:r>
      <w:proofErr w:type="spellEnd"/>
      <w:r w:rsidR="000B1F76" w:rsidRPr="00187208">
        <w:rPr>
          <w:rFonts w:ascii="Times New Roman" w:hAnsi="Times New Roman" w:cs="Times New Roman"/>
          <w:sz w:val="24"/>
          <w:szCs w:val="24"/>
          <w:lang w:val="pt-BR"/>
        </w:rPr>
        <w:t>)</w:t>
      </w:r>
      <w:r w:rsidR="00401159">
        <w:rPr>
          <w:rFonts w:ascii="Times New Roman" w:hAnsi="Times New Roman" w:cs="Times New Roman"/>
          <w:sz w:val="24"/>
          <w:szCs w:val="24"/>
          <w:lang w:val="pt-BR"/>
        </w:rPr>
        <w:t xml:space="preserve">, que permitem </w:t>
      </w:r>
      <w:r w:rsidR="000B1F76" w:rsidRPr="00187208">
        <w:rPr>
          <w:rFonts w:ascii="Times New Roman" w:hAnsi="Times New Roman" w:cs="Times New Roman"/>
          <w:sz w:val="24"/>
          <w:szCs w:val="24"/>
          <w:lang w:val="pt-BR"/>
        </w:rPr>
        <w:t>contato mais direto com nossos resultados.</w:t>
      </w:r>
    </w:p>
    <w:p w14:paraId="38B436E3" w14:textId="7438D960" w:rsidR="0087104F" w:rsidRPr="00187208" w:rsidRDefault="000B1F76" w:rsidP="00187208">
      <w:pPr>
        <w:spacing w:line="360" w:lineRule="auto"/>
        <w:jc w:val="both"/>
        <w:rPr>
          <w:rFonts w:ascii="Times New Roman" w:hAnsi="Times New Roman" w:cs="Times New Roman"/>
          <w:sz w:val="24"/>
          <w:szCs w:val="24"/>
          <w:lang w:val="pt-BR"/>
        </w:rPr>
      </w:pPr>
      <w:r w:rsidRPr="00187208">
        <w:rPr>
          <w:rFonts w:ascii="Times New Roman" w:hAnsi="Times New Roman" w:cs="Times New Roman"/>
          <w:sz w:val="24"/>
          <w:szCs w:val="24"/>
          <w:lang w:val="pt-BR"/>
        </w:rPr>
        <w:tab/>
        <w:t>Por fim</w:t>
      </w:r>
      <w:r w:rsidR="00401159">
        <w:rPr>
          <w:rFonts w:ascii="Times New Roman" w:hAnsi="Times New Roman" w:cs="Times New Roman"/>
          <w:sz w:val="24"/>
          <w:szCs w:val="24"/>
          <w:lang w:val="pt-BR"/>
        </w:rPr>
        <w:t>, como dito</w:t>
      </w:r>
      <w:r w:rsidRPr="00187208">
        <w:rPr>
          <w:rFonts w:ascii="Times New Roman" w:hAnsi="Times New Roman" w:cs="Times New Roman"/>
          <w:sz w:val="24"/>
          <w:szCs w:val="24"/>
          <w:lang w:val="pt-BR"/>
        </w:rPr>
        <w:t>, calculamos além d</w:t>
      </w:r>
      <w:r w:rsidR="00401159">
        <w:rPr>
          <w:rFonts w:ascii="Times New Roman" w:hAnsi="Times New Roman" w:cs="Times New Roman"/>
          <w:sz w:val="24"/>
          <w:szCs w:val="24"/>
          <w:lang w:val="pt-BR"/>
        </w:rPr>
        <w:t>o</w:t>
      </w:r>
      <w:r w:rsidRPr="00187208">
        <w:rPr>
          <w:rFonts w:ascii="Times New Roman" w:hAnsi="Times New Roman" w:cs="Times New Roman"/>
          <w:sz w:val="24"/>
          <w:szCs w:val="24"/>
          <w:lang w:val="pt-BR"/>
        </w:rPr>
        <w:t>s resultados m</w:t>
      </w:r>
      <w:r w:rsidR="00401159">
        <w:rPr>
          <w:rFonts w:ascii="Times New Roman" w:hAnsi="Times New Roman" w:cs="Times New Roman"/>
          <w:sz w:val="24"/>
          <w:szCs w:val="24"/>
          <w:lang w:val="pt-BR"/>
        </w:rPr>
        <w:t xml:space="preserve">edianos </w:t>
      </w:r>
      <w:r w:rsidRPr="00187208">
        <w:rPr>
          <w:rFonts w:ascii="Times New Roman" w:hAnsi="Times New Roman" w:cs="Times New Roman"/>
          <w:sz w:val="24"/>
          <w:szCs w:val="24"/>
          <w:lang w:val="pt-BR"/>
        </w:rPr>
        <w:t xml:space="preserve">para cada </w:t>
      </w:r>
      <w:r w:rsidR="00681E2E" w:rsidRPr="00187208">
        <w:rPr>
          <w:rFonts w:ascii="Times New Roman" w:hAnsi="Times New Roman" w:cs="Times New Roman"/>
          <w:sz w:val="24"/>
          <w:szCs w:val="24"/>
          <w:lang w:val="pt-BR"/>
        </w:rPr>
        <w:t>tamanho</w:t>
      </w:r>
      <w:r w:rsidRPr="00187208">
        <w:rPr>
          <w:rFonts w:ascii="Times New Roman" w:hAnsi="Times New Roman" w:cs="Times New Roman"/>
          <w:sz w:val="24"/>
          <w:szCs w:val="24"/>
          <w:lang w:val="pt-BR"/>
        </w:rPr>
        <w:t xml:space="preserve"> de </w:t>
      </w:r>
      <w:r w:rsidR="00401159">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w:t>
      </w:r>
      <w:r w:rsidRPr="00187208">
        <w:rPr>
          <w:rFonts w:ascii="Times New Roman" w:hAnsi="Times New Roman" w:cs="Times New Roman"/>
          <w:sz w:val="24"/>
          <w:szCs w:val="24"/>
          <w:lang w:val="pt-BR"/>
        </w:rPr>
        <w:t xml:space="preserve"> possível algumas bandas de interesse: mais ou menos um desvio padrão e o intervalo de 95% dos resultados. Isso segue o argumento feito por </w:t>
      </w:r>
      <w:proofErr w:type="spellStart"/>
      <w:r w:rsidRPr="00187208">
        <w:rPr>
          <w:rFonts w:ascii="Times New Roman" w:hAnsi="Times New Roman" w:cs="Times New Roman"/>
          <w:sz w:val="24"/>
          <w:szCs w:val="24"/>
          <w:lang w:val="pt-BR"/>
        </w:rPr>
        <w:t>Newbould</w:t>
      </w:r>
      <w:proofErr w:type="spellEnd"/>
      <w:r w:rsidRPr="00187208">
        <w:rPr>
          <w:rFonts w:ascii="Times New Roman" w:hAnsi="Times New Roman" w:cs="Times New Roman"/>
          <w:sz w:val="24"/>
          <w:szCs w:val="24"/>
          <w:lang w:val="pt-BR"/>
        </w:rPr>
        <w:t xml:space="preserve"> e </w:t>
      </w:r>
      <w:proofErr w:type="spellStart"/>
      <w:r w:rsidRPr="00187208">
        <w:rPr>
          <w:rFonts w:ascii="Times New Roman" w:hAnsi="Times New Roman" w:cs="Times New Roman"/>
          <w:sz w:val="24"/>
          <w:szCs w:val="24"/>
          <w:lang w:val="pt-BR"/>
        </w:rPr>
        <w:t>Poon</w:t>
      </w:r>
      <w:proofErr w:type="spellEnd"/>
      <w:r w:rsidRPr="00187208">
        <w:rPr>
          <w:rFonts w:ascii="Times New Roman" w:hAnsi="Times New Roman" w:cs="Times New Roman"/>
          <w:sz w:val="24"/>
          <w:szCs w:val="24"/>
          <w:lang w:val="pt-BR"/>
        </w:rPr>
        <w:t xml:space="preserve"> (1993) de que ao escolher um </w:t>
      </w:r>
      <w:r w:rsidR="00401159">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w:t>
      </w:r>
      <w:r w:rsidRPr="00187208">
        <w:rPr>
          <w:rFonts w:ascii="Times New Roman" w:hAnsi="Times New Roman" w:cs="Times New Roman"/>
          <w:sz w:val="24"/>
          <w:szCs w:val="24"/>
          <w:lang w:val="pt-BR"/>
        </w:rPr>
        <w:t xml:space="preserve"> qualquer, uma investidora não tem garantias de estar selecionando o </w:t>
      </w:r>
      <w:r w:rsidR="00401159">
        <w:rPr>
          <w:rFonts w:ascii="Times New Roman" w:hAnsi="Times New Roman" w:cs="Times New Roman"/>
          <w:sz w:val="24"/>
          <w:szCs w:val="24"/>
          <w:lang w:val="pt-BR"/>
        </w:rPr>
        <w:t>p</w:t>
      </w:r>
      <w:r w:rsidR="00681E2E" w:rsidRPr="00187208">
        <w:rPr>
          <w:rFonts w:ascii="Times New Roman" w:hAnsi="Times New Roman" w:cs="Times New Roman"/>
          <w:sz w:val="24"/>
          <w:szCs w:val="24"/>
          <w:lang w:val="pt-BR"/>
        </w:rPr>
        <w:t>ortfólio</w:t>
      </w:r>
      <w:r w:rsidRPr="00187208">
        <w:rPr>
          <w:rFonts w:ascii="Times New Roman" w:hAnsi="Times New Roman" w:cs="Times New Roman"/>
          <w:sz w:val="24"/>
          <w:szCs w:val="24"/>
          <w:lang w:val="pt-BR"/>
        </w:rPr>
        <w:t xml:space="preserve"> médio, o que faz com que os intervalos citados sejam de interesse.</w:t>
      </w:r>
      <w:r w:rsidR="00401159">
        <w:rPr>
          <w:rFonts w:ascii="Times New Roman" w:hAnsi="Times New Roman" w:cs="Times New Roman"/>
          <w:sz w:val="24"/>
          <w:szCs w:val="24"/>
          <w:lang w:val="pt-BR"/>
        </w:rPr>
        <w:t xml:space="preserve"> Além disso, como estamos lidando com amostras de populações muito grandes, queremos ter garantias de que mesmo que nossas medianas não sejam perfeitamente representativas, nossos resultados são válidos para um espectro amplo de realizações possíveis.</w:t>
      </w:r>
      <w:r w:rsidR="00681E2E" w:rsidRPr="00187208">
        <w:rPr>
          <w:rFonts w:ascii="Times New Roman" w:hAnsi="Times New Roman" w:cs="Times New Roman"/>
          <w:sz w:val="24"/>
          <w:szCs w:val="24"/>
          <w:lang w:val="pt-BR"/>
        </w:rPr>
        <w:t xml:space="preserve"> </w:t>
      </w:r>
      <w:r w:rsidR="00401159">
        <w:rPr>
          <w:rFonts w:ascii="Times New Roman" w:hAnsi="Times New Roman" w:cs="Times New Roman"/>
          <w:sz w:val="24"/>
          <w:szCs w:val="24"/>
          <w:lang w:val="pt-BR"/>
        </w:rPr>
        <w:t>Como esse segundo problema não se aplica aos casos em que a totalidade de portfólios possíveis é calculada, e</w:t>
      </w:r>
      <w:r w:rsidR="00681E2E" w:rsidRPr="00187208">
        <w:rPr>
          <w:rFonts w:ascii="Times New Roman" w:hAnsi="Times New Roman" w:cs="Times New Roman"/>
          <w:sz w:val="24"/>
          <w:szCs w:val="24"/>
          <w:lang w:val="pt-BR"/>
        </w:rPr>
        <w:t xml:space="preserve"> por uma questão de clareza</w:t>
      </w:r>
      <w:r w:rsidR="00401159">
        <w:rPr>
          <w:rFonts w:ascii="Times New Roman" w:hAnsi="Times New Roman" w:cs="Times New Roman"/>
          <w:sz w:val="24"/>
          <w:szCs w:val="24"/>
          <w:lang w:val="pt-BR"/>
        </w:rPr>
        <w:t xml:space="preserve"> e poluição visual</w:t>
      </w:r>
      <w:r w:rsidR="00681E2E" w:rsidRPr="00187208">
        <w:rPr>
          <w:rFonts w:ascii="Times New Roman" w:hAnsi="Times New Roman" w:cs="Times New Roman"/>
          <w:sz w:val="24"/>
          <w:szCs w:val="24"/>
          <w:lang w:val="pt-BR"/>
        </w:rPr>
        <w:t xml:space="preserve">, suprimimos </w:t>
      </w:r>
      <w:r w:rsidR="00401159">
        <w:rPr>
          <w:rFonts w:ascii="Times New Roman" w:hAnsi="Times New Roman" w:cs="Times New Roman"/>
          <w:sz w:val="24"/>
          <w:szCs w:val="24"/>
          <w:lang w:val="pt-BR"/>
        </w:rPr>
        <w:t>a apresentação dos</w:t>
      </w:r>
      <w:r w:rsidR="00681E2E" w:rsidRPr="00187208">
        <w:rPr>
          <w:rFonts w:ascii="Times New Roman" w:hAnsi="Times New Roman" w:cs="Times New Roman"/>
          <w:sz w:val="24"/>
          <w:szCs w:val="24"/>
          <w:lang w:val="pt-BR"/>
        </w:rPr>
        <w:t xml:space="preserve"> intervalos n</w:t>
      </w:r>
      <w:r w:rsidR="00401159">
        <w:rPr>
          <w:rFonts w:ascii="Times New Roman" w:hAnsi="Times New Roman" w:cs="Times New Roman"/>
          <w:sz w:val="24"/>
          <w:szCs w:val="24"/>
          <w:lang w:val="pt-BR"/>
        </w:rPr>
        <w:t>esses casos</w:t>
      </w:r>
      <w:r w:rsidR="00681E2E" w:rsidRPr="00187208">
        <w:rPr>
          <w:rFonts w:ascii="Times New Roman" w:hAnsi="Times New Roman" w:cs="Times New Roman"/>
          <w:sz w:val="24"/>
          <w:szCs w:val="24"/>
          <w:lang w:val="pt-BR"/>
        </w:rPr>
        <w:t>.</w:t>
      </w:r>
    </w:p>
    <w:p w14:paraId="0F73F23B" w14:textId="4B870ADA" w:rsidR="000B1F76" w:rsidRDefault="000B1F76" w:rsidP="00187208">
      <w:pPr>
        <w:spacing w:line="360" w:lineRule="auto"/>
        <w:jc w:val="both"/>
        <w:rPr>
          <w:rFonts w:ascii="Times New Roman" w:hAnsi="Times New Roman" w:cs="Times New Roman"/>
          <w:sz w:val="24"/>
          <w:szCs w:val="24"/>
          <w:lang w:val="pt-BR"/>
        </w:rPr>
      </w:pPr>
      <w:r w:rsidRPr="00187208">
        <w:rPr>
          <w:rFonts w:ascii="Times New Roman" w:hAnsi="Times New Roman" w:cs="Times New Roman"/>
          <w:sz w:val="24"/>
          <w:szCs w:val="24"/>
          <w:lang w:val="pt-BR"/>
        </w:rPr>
        <w:lastRenderedPageBreak/>
        <w:tab/>
        <w:t>O procedimento em uso atualmente pode ser aprimorado de duas formas notáveis. A primeira melhoria, de inspiração teórica, seria fazer variar o</w:t>
      </w:r>
      <w:r w:rsidR="00615612" w:rsidRPr="00187208">
        <w:rPr>
          <w:rFonts w:ascii="Times New Roman" w:hAnsi="Times New Roman" w:cs="Times New Roman"/>
          <w:sz w:val="24"/>
          <w:szCs w:val="24"/>
          <w:lang w:val="pt-BR"/>
        </w:rPr>
        <w:t>s</w:t>
      </w:r>
      <w:r w:rsidRPr="00187208">
        <w:rPr>
          <w:rFonts w:ascii="Times New Roman" w:hAnsi="Times New Roman" w:cs="Times New Roman"/>
          <w:sz w:val="24"/>
          <w:szCs w:val="24"/>
          <w:lang w:val="pt-BR"/>
        </w:rPr>
        <w:t xml:space="preserve"> momento</w:t>
      </w:r>
      <w:r w:rsidR="00615612" w:rsidRPr="00187208">
        <w:rPr>
          <w:rFonts w:ascii="Times New Roman" w:hAnsi="Times New Roman" w:cs="Times New Roman"/>
          <w:sz w:val="24"/>
          <w:szCs w:val="24"/>
          <w:lang w:val="pt-BR"/>
        </w:rPr>
        <w:t>s</w:t>
      </w:r>
      <w:r w:rsidRPr="00187208">
        <w:rPr>
          <w:rFonts w:ascii="Times New Roman" w:hAnsi="Times New Roman" w:cs="Times New Roman"/>
          <w:sz w:val="24"/>
          <w:szCs w:val="24"/>
          <w:lang w:val="pt-BR"/>
        </w:rPr>
        <w:t xml:space="preserve"> inicia</w:t>
      </w:r>
      <w:r w:rsidR="00615612" w:rsidRPr="00187208">
        <w:rPr>
          <w:rFonts w:ascii="Times New Roman" w:hAnsi="Times New Roman" w:cs="Times New Roman"/>
          <w:sz w:val="24"/>
          <w:szCs w:val="24"/>
          <w:lang w:val="pt-BR"/>
        </w:rPr>
        <w:t>is</w:t>
      </w:r>
      <w:r w:rsidRPr="00187208">
        <w:rPr>
          <w:rFonts w:ascii="Times New Roman" w:hAnsi="Times New Roman" w:cs="Times New Roman"/>
          <w:sz w:val="24"/>
          <w:szCs w:val="24"/>
          <w:lang w:val="pt-BR"/>
        </w:rPr>
        <w:t xml:space="preserve"> </w:t>
      </w:r>
      <w:r w:rsidR="00615612" w:rsidRPr="00187208">
        <w:rPr>
          <w:rFonts w:ascii="Times New Roman" w:hAnsi="Times New Roman" w:cs="Times New Roman"/>
          <w:sz w:val="24"/>
          <w:szCs w:val="24"/>
          <w:lang w:val="pt-BR"/>
        </w:rPr>
        <w:t xml:space="preserve">e finais </w:t>
      </w:r>
      <w:r w:rsidRPr="00187208">
        <w:rPr>
          <w:rFonts w:ascii="Times New Roman" w:hAnsi="Times New Roman" w:cs="Times New Roman"/>
          <w:sz w:val="24"/>
          <w:szCs w:val="24"/>
          <w:lang w:val="pt-BR"/>
        </w:rPr>
        <w:t xml:space="preserve">dos </w:t>
      </w:r>
      <w:r w:rsidR="00681E2E" w:rsidRPr="00187208">
        <w:rPr>
          <w:rFonts w:ascii="Times New Roman" w:hAnsi="Times New Roman" w:cs="Times New Roman"/>
          <w:sz w:val="24"/>
          <w:szCs w:val="24"/>
          <w:lang w:val="pt-BR"/>
        </w:rPr>
        <w:t>Portfólios</w:t>
      </w:r>
      <w:r w:rsidR="00615612" w:rsidRPr="00187208">
        <w:rPr>
          <w:rFonts w:ascii="Times New Roman" w:hAnsi="Times New Roman" w:cs="Times New Roman"/>
          <w:sz w:val="24"/>
          <w:szCs w:val="24"/>
          <w:lang w:val="pt-BR"/>
        </w:rPr>
        <w:t>, como feito em Chong e Phillips (2012)</w:t>
      </w:r>
      <w:r w:rsidRPr="00187208">
        <w:rPr>
          <w:rFonts w:ascii="Times New Roman" w:hAnsi="Times New Roman" w:cs="Times New Roman"/>
          <w:sz w:val="24"/>
          <w:szCs w:val="24"/>
          <w:lang w:val="pt-BR"/>
        </w:rPr>
        <w:t xml:space="preserve">, para que não estejamos sujeitos a vieses de </w:t>
      </w:r>
      <w:r w:rsidR="00615612" w:rsidRPr="00187208">
        <w:rPr>
          <w:rFonts w:ascii="Times New Roman" w:hAnsi="Times New Roman" w:cs="Times New Roman"/>
          <w:sz w:val="24"/>
          <w:szCs w:val="24"/>
          <w:lang w:val="pt-BR"/>
        </w:rPr>
        <w:t>tempo</w:t>
      </w:r>
      <w:r w:rsidRPr="00187208">
        <w:rPr>
          <w:rFonts w:ascii="Times New Roman" w:hAnsi="Times New Roman" w:cs="Times New Roman"/>
          <w:sz w:val="24"/>
          <w:szCs w:val="24"/>
          <w:lang w:val="pt-BR"/>
        </w:rPr>
        <w:t xml:space="preserve"> (como são calculados hoje, todos os nossos </w:t>
      </w:r>
      <w:r w:rsidR="00681E2E" w:rsidRPr="00187208">
        <w:rPr>
          <w:rFonts w:ascii="Times New Roman" w:hAnsi="Times New Roman" w:cs="Times New Roman"/>
          <w:sz w:val="24"/>
          <w:szCs w:val="24"/>
          <w:lang w:val="pt-BR"/>
        </w:rPr>
        <w:t>Portfólios</w:t>
      </w:r>
      <w:r w:rsidRPr="00187208">
        <w:rPr>
          <w:rFonts w:ascii="Times New Roman" w:hAnsi="Times New Roman" w:cs="Times New Roman"/>
          <w:sz w:val="24"/>
          <w:szCs w:val="24"/>
          <w:lang w:val="pt-BR"/>
        </w:rPr>
        <w:t xml:space="preserve"> são iniciados </w:t>
      </w:r>
      <w:r w:rsidR="00615612" w:rsidRPr="00187208">
        <w:rPr>
          <w:rFonts w:ascii="Times New Roman" w:hAnsi="Times New Roman" w:cs="Times New Roman"/>
          <w:sz w:val="24"/>
          <w:szCs w:val="24"/>
          <w:lang w:val="pt-BR"/>
        </w:rPr>
        <w:t xml:space="preserve">e finalizados todos nos mesmos momentos). A segunda, de inspiração técnica, é adotar uma forma de </w:t>
      </w:r>
      <w:r w:rsidR="00615612" w:rsidRPr="00187208">
        <w:rPr>
          <w:rFonts w:ascii="Times New Roman" w:hAnsi="Times New Roman" w:cs="Times New Roman"/>
          <w:i/>
          <w:iCs/>
          <w:sz w:val="24"/>
          <w:szCs w:val="24"/>
          <w:lang w:val="pt-BR"/>
        </w:rPr>
        <w:t>benchmarking</w:t>
      </w:r>
      <w:r w:rsidR="00615612" w:rsidRPr="00187208">
        <w:rPr>
          <w:rFonts w:ascii="Times New Roman" w:hAnsi="Times New Roman" w:cs="Times New Roman"/>
          <w:sz w:val="24"/>
          <w:szCs w:val="24"/>
          <w:lang w:val="pt-BR"/>
        </w:rPr>
        <w:t xml:space="preserve"> anterior ao cálculo das amostras para que cada conjunto de amostras seja calculado de forma otimizada, em lugar de simplesmente se impor a mesma quantidade máxima de </w:t>
      </w:r>
      <w:r w:rsidR="00681E2E" w:rsidRPr="00187208">
        <w:rPr>
          <w:rFonts w:ascii="Times New Roman" w:hAnsi="Times New Roman" w:cs="Times New Roman"/>
          <w:sz w:val="24"/>
          <w:szCs w:val="24"/>
          <w:lang w:val="pt-BR"/>
        </w:rPr>
        <w:t>Portfólios</w:t>
      </w:r>
      <w:r w:rsidR="00615612" w:rsidRPr="00187208">
        <w:rPr>
          <w:rFonts w:ascii="Times New Roman" w:hAnsi="Times New Roman" w:cs="Times New Roman"/>
          <w:sz w:val="24"/>
          <w:szCs w:val="24"/>
          <w:lang w:val="pt-BR"/>
        </w:rPr>
        <w:t xml:space="preserve"> em todos os conjuntos. Isso permitiria maior controle sobre o tempo levado para a criação de novos exemplos, permitindo a análise de um universo maior de simulações.</w:t>
      </w:r>
    </w:p>
    <w:p w14:paraId="529BE1CE" w14:textId="5E6FA5D7" w:rsidR="00033B0F" w:rsidRPr="00187208" w:rsidRDefault="00615612" w:rsidP="00187208">
      <w:pPr>
        <w:spacing w:line="360" w:lineRule="auto"/>
        <w:jc w:val="both"/>
        <w:rPr>
          <w:rFonts w:ascii="Times New Roman" w:hAnsi="Times New Roman" w:cs="Times New Roman"/>
          <w:sz w:val="24"/>
          <w:szCs w:val="24"/>
          <w:lang w:val="pt-BR"/>
        </w:rPr>
      </w:pPr>
      <w:r w:rsidRPr="00187208">
        <w:rPr>
          <w:rFonts w:ascii="Times New Roman" w:hAnsi="Times New Roman" w:cs="Times New Roman"/>
          <w:sz w:val="24"/>
          <w:szCs w:val="24"/>
          <w:lang w:val="pt-BR"/>
        </w:rPr>
        <w:tab/>
        <w:t xml:space="preserve">Por fim, todos os procedimentos, códigos e resultados deste trabalho estão disponíveis em </w:t>
      </w:r>
      <w:hyperlink r:id="rId7" w:history="1">
        <w:r w:rsidRPr="00187208">
          <w:rPr>
            <w:rStyle w:val="Hyperlink"/>
            <w:rFonts w:ascii="Times New Roman" w:hAnsi="Times New Roman" w:cs="Times New Roman"/>
            <w:color w:val="auto"/>
            <w:sz w:val="24"/>
            <w:szCs w:val="24"/>
            <w:u w:val="none"/>
            <w:lang w:val="pt-BR"/>
          </w:rPr>
          <w:t>https://github.com/ZeVZobaran/ibovPortfoliosSd</w:t>
        </w:r>
      </w:hyperlink>
      <w:r w:rsidRPr="00187208">
        <w:rPr>
          <w:rFonts w:ascii="Times New Roman" w:hAnsi="Times New Roman" w:cs="Times New Roman"/>
          <w:sz w:val="24"/>
          <w:szCs w:val="24"/>
          <w:lang w:val="pt-BR"/>
        </w:rPr>
        <w:t xml:space="preserve">. Os cálculos, gráficos e </w:t>
      </w:r>
      <w:r w:rsidR="00187208" w:rsidRPr="00187208">
        <w:rPr>
          <w:rFonts w:ascii="Times New Roman" w:hAnsi="Times New Roman" w:cs="Times New Roman"/>
          <w:sz w:val="24"/>
          <w:szCs w:val="24"/>
          <w:lang w:val="pt-BR"/>
        </w:rPr>
        <w:t>análises</w:t>
      </w:r>
      <w:r w:rsidRPr="00187208">
        <w:rPr>
          <w:rFonts w:ascii="Times New Roman" w:hAnsi="Times New Roman" w:cs="Times New Roman"/>
          <w:sz w:val="24"/>
          <w:szCs w:val="24"/>
          <w:lang w:val="pt-BR"/>
        </w:rPr>
        <w:t xml:space="preserve"> foram realizados em R, com uso principalmente das bibliotecas da distribuição do </w:t>
      </w:r>
      <w:proofErr w:type="spellStart"/>
      <w:r w:rsidRPr="00187208">
        <w:rPr>
          <w:rFonts w:ascii="Times New Roman" w:hAnsi="Times New Roman" w:cs="Times New Roman"/>
          <w:i/>
          <w:iCs/>
          <w:sz w:val="24"/>
          <w:szCs w:val="24"/>
          <w:lang w:val="pt-BR"/>
        </w:rPr>
        <w:t>tidyverse</w:t>
      </w:r>
      <w:proofErr w:type="spellEnd"/>
      <w:r w:rsidRPr="00187208">
        <w:rPr>
          <w:rFonts w:ascii="Times New Roman" w:hAnsi="Times New Roman" w:cs="Times New Roman"/>
          <w:sz w:val="24"/>
          <w:szCs w:val="24"/>
          <w:lang w:val="pt-BR"/>
        </w:rPr>
        <w:t>.  Este repositório está sujeito a alterações.</w:t>
      </w:r>
      <w:r w:rsidR="004903C1">
        <w:rPr>
          <w:rFonts w:ascii="Times New Roman" w:hAnsi="Times New Roman" w:cs="Times New Roman"/>
          <w:sz w:val="24"/>
          <w:szCs w:val="24"/>
          <w:lang w:val="pt-BR"/>
        </w:rPr>
        <w:t xml:space="preserve"> O</w:t>
      </w:r>
      <w:r w:rsidR="004903C1">
        <w:rPr>
          <w:rFonts w:ascii="Times New Roman" w:hAnsi="Times New Roman" w:cs="Times New Roman"/>
          <w:sz w:val="24"/>
          <w:szCs w:val="24"/>
          <w:lang w:val="pt-BR"/>
        </w:rPr>
        <w:t xml:space="preserve">s cálculos até agora foram feitos </w:t>
      </w:r>
      <w:r w:rsidR="004903C1">
        <w:rPr>
          <w:rFonts w:ascii="Times New Roman" w:hAnsi="Times New Roman" w:cs="Times New Roman"/>
          <w:sz w:val="24"/>
          <w:szCs w:val="24"/>
          <w:lang w:val="pt-BR"/>
        </w:rPr>
        <w:t>com</w:t>
      </w:r>
      <w:r w:rsidR="004903C1">
        <w:rPr>
          <w:rFonts w:ascii="Times New Roman" w:hAnsi="Times New Roman" w:cs="Times New Roman"/>
          <w:sz w:val="24"/>
          <w:szCs w:val="24"/>
          <w:lang w:val="pt-BR"/>
        </w:rPr>
        <w:t xml:space="preserve"> apenas 37 ações, um subgrupo pequeno do total no mercado brasileiro.</w:t>
      </w:r>
    </w:p>
    <w:p w14:paraId="46FB2366" w14:textId="5E221A3E" w:rsidR="0079502E" w:rsidRPr="00187208" w:rsidRDefault="0079502E" w:rsidP="00187208">
      <w:pPr>
        <w:spacing w:line="360" w:lineRule="auto"/>
        <w:jc w:val="both"/>
        <w:rPr>
          <w:rFonts w:ascii="Times New Roman" w:hAnsi="Times New Roman" w:cs="Times New Roman"/>
          <w:b/>
          <w:bCs/>
          <w:color w:val="000000" w:themeColor="text1"/>
          <w:sz w:val="24"/>
          <w:szCs w:val="24"/>
          <w:lang w:val="pt-BR"/>
        </w:rPr>
      </w:pPr>
      <w:r w:rsidRPr="00187208">
        <w:rPr>
          <w:rFonts w:ascii="Times New Roman" w:hAnsi="Times New Roman" w:cs="Times New Roman"/>
          <w:b/>
          <w:bCs/>
          <w:color w:val="000000" w:themeColor="text1"/>
          <w:sz w:val="24"/>
          <w:szCs w:val="24"/>
          <w:lang w:val="pt-BR"/>
        </w:rPr>
        <w:t>3. Apresentação dos Resultados</w:t>
      </w:r>
    </w:p>
    <w:p w14:paraId="4C7AFA70" w14:textId="54E74B59" w:rsidR="0079502E" w:rsidRPr="00187208" w:rsidRDefault="0079502E" w:rsidP="00187208">
      <w:pPr>
        <w:spacing w:line="360" w:lineRule="auto"/>
        <w:jc w:val="both"/>
        <w:rPr>
          <w:rFonts w:ascii="Times New Roman" w:hAnsi="Times New Roman" w:cs="Times New Roman"/>
          <w:b/>
          <w:bCs/>
          <w:color w:val="000000" w:themeColor="text1"/>
          <w:sz w:val="24"/>
          <w:szCs w:val="24"/>
          <w:lang w:val="pt-BR"/>
        </w:rPr>
      </w:pPr>
      <w:r w:rsidRPr="00187208">
        <w:rPr>
          <w:rFonts w:ascii="Times New Roman" w:hAnsi="Times New Roman" w:cs="Times New Roman"/>
          <w:b/>
          <w:bCs/>
          <w:color w:val="000000" w:themeColor="text1"/>
          <w:sz w:val="24"/>
          <w:szCs w:val="24"/>
          <w:lang w:val="pt-BR"/>
        </w:rPr>
        <w:t xml:space="preserve">3.1 </w:t>
      </w:r>
      <w:r w:rsidR="00681E2E" w:rsidRPr="00187208">
        <w:rPr>
          <w:rFonts w:ascii="Times New Roman" w:hAnsi="Times New Roman" w:cs="Times New Roman"/>
          <w:b/>
          <w:bCs/>
          <w:color w:val="000000" w:themeColor="text1"/>
          <w:sz w:val="24"/>
          <w:szCs w:val="24"/>
          <w:lang w:val="pt-BR"/>
        </w:rPr>
        <w:t>Portfólios</w:t>
      </w:r>
      <w:r w:rsidRPr="00187208">
        <w:rPr>
          <w:rFonts w:ascii="Times New Roman" w:hAnsi="Times New Roman" w:cs="Times New Roman"/>
          <w:b/>
          <w:bCs/>
          <w:color w:val="000000" w:themeColor="text1"/>
          <w:sz w:val="24"/>
          <w:szCs w:val="24"/>
          <w:lang w:val="pt-BR"/>
        </w:rPr>
        <w:t xml:space="preserve"> </w:t>
      </w:r>
      <w:proofErr w:type="spellStart"/>
      <w:r w:rsidRPr="00187208">
        <w:rPr>
          <w:rFonts w:ascii="Times New Roman" w:hAnsi="Times New Roman" w:cs="Times New Roman"/>
          <w:b/>
          <w:bCs/>
          <w:i/>
          <w:iCs/>
          <w:color w:val="000000" w:themeColor="text1"/>
          <w:sz w:val="24"/>
          <w:szCs w:val="24"/>
          <w:lang w:val="pt-BR"/>
        </w:rPr>
        <w:t>equally-weighted</w:t>
      </w:r>
      <w:proofErr w:type="spellEnd"/>
    </w:p>
    <w:p w14:paraId="3277AA9E" w14:textId="77777777" w:rsidR="008C77CF" w:rsidRDefault="0079502E" w:rsidP="00187208">
      <w:pPr>
        <w:spacing w:line="360" w:lineRule="auto"/>
        <w:jc w:val="both"/>
        <w:rPr>
          <w:rFonts w:ascii="Times New Roman" w:hAnsi="Times New Roman" w:cs="Times New Roman"/>
          <w:color w:val="000000" w:themeColor="text1"/>
          <w:sz w:val="24"/>
          <w:szCs w:val="24"/>
          <w:lang w:val="pt-BR"/>
        </w:rPr>
      </w:pPr>
      <w:r w:rsidRPr="00187208">
        <w:rPr>
          <w:rFonts w:ascii="Times New Roman" w:hAnsi="Times New Roman" w:cs="Times New Roman"/>
          <w:b/>
          <w:bCs/>
          <w:color w:val="000000" w:themeColor="text1"/>
          <w:sz w:val="24"/>
          <w:szCs w:val="24"/>
          <w:lang w:val="pt-BR"/>
        </w:rPr>
        <w:tab/>
      </w:r>
      <w:r w:rsidR="002F4E44">
        <w:rPr>
          <w:rFonts w:ascii="Times New Roman" w:hAnsi="Times New Roman" w:cs="Times New Roman"/>
          <w:color w:val="000000" w:themeColor="text1"/>
          <w:sz w:val="24"/>
          <w:szCs w:val="24"/>
          <w:lang w:val="pt-BR"/>
        </w:rPr>
        <w:t>O primeiro caso discutido será aquele em que investidores selecionam ações aleatoriamente para compor portfólios em que cada ação tem o mesmo peso. Começamos por este caso principalmente pela relativa simplicidade de se aplicar o nosso algoritmo de cálculo. Como consequência dessa formulação, não fazemos suposições quanto ao retorno dos portfólios em cada amostra, que podem variar livremente. Dado que as ações que compõe o portfólio são selecionadas de forma aleatória e o peso delas é fixo, o retorno do portfólio estará dado de antemão.</w:t>
      </w:r>
    </w:p>
    <w:p w14:paraId="26AF2F3E" w14:textId="3412B8C2" w:rsidR="00734BB8" w:rsidRDefault="002F67E3" w:rsidP="00033B0F">
      <w:pPr>
        <w:spacing w:line="360" w:lineRule="auto"/>
        <w:ind w:firstLine="720"/>
        <w:jc w:val="both"/>
        <w:rPr>
          <w:rFonts w:ascii="Times New Roman" w:hAnsi="Times New Roman" w:cs="Times New Roman"/>
          <w:color w:val="000000" w:themeColor="text1"/>
          <w:sz w:val="24"/>
          <w:szCs w:val="24"/>
          <w:lang w:val="pt-BR"/>
        </w:rPr>
      </w:pPr>
      <w:r>
        <w:rPr>
          <w:rFonts w:ascii="Times New Roman" w:hAnsi="Times New Roman" w:cs="Times New Roman"/>
          <w:color w:val="000000" w:themeColor="text1"/>
          <w:sz w:val="24"/>
          <w:szCs w:val="24"/>
          <w:lang w:val="pt-BR"/>
        </w:rPr>
        <w:t xml:space="preserve">Antes de apresentar os resultados </w:t>
      </w:r>
      <w:r w:rsidR="002A0B6D">
        <w:rPr>
          <w:rFonts w:ascii="Times New Roman" w:hAnsi="Times New Roman" w:cs="Times New Roman"/>
          <w:color w:val="000000" w:themeColor="text1"/>
          <w:sz w:val="24"/>
          <w:szCs w:val="24"/>
          <w:lang w:val="pt-BR"/>
        </w:rPr>
        <w:t xml:space="preserve">principais, discutiremos a questão de normalidade das amostras apresentada no capítulo anterior. As figuras 1 e 2 apresentam a função de probabilidade acumulada, a densidade de probabilidade e gráfico </w:t>
      </w:r>
      <w:proofErr w:type="spellStart"/>
      <w:r w:rsidR="002A0B6D">
        <w:rPr>
          <w:rFonts w:ascii="Times New Roman" w:hAnsi="Times New Roman" w:cs="Times New Roman"/>
          <w:color w:val="000000" w:themeColor="text1"/>
          <w:sz w:val="24"/>
          <w:szCs w:val="24"/>
          <w:lang w:val="pt-BR"/>
        </w:rPr>
        <w:t>quantil-quantil</w:t>
      </w:r>
      <w:proofErr w:type="spellEnd"/>
      <w:r w:rsidR="002A0B6D">
        <w:rPr>
          <w:rFonts w:ascii="Times New Roman" w:hAnsi="Times New Roman" w:cs="Times New Roman"/>
          <w:color w:val="000000" w:themeColor="text1"/>
          <w:sz w:val="24"/>
          <w:szCs w:val="24"/>
          <w:lang w:val="pt-BR"/>
        </w:rPr>
        <w:t xml:space="preserve"> dos desvios padrões</w:t>
      </w:r>
      <w:r>
        <w:rPr>
          <w:rFonts w:ascii="Times New Roman" w:hAnsi="Times New Roman" w:cs="Times New Roman"/>
          <w:color w:val="000000" w:themeColor="text1"/>
          <w:sz w:val="24"/>
          <w:szCs w:val="24"/>
          <w:lang w:val="pt-BR"/>
        </w:rPr>
        <w:t xml:space="preserve"> </w:t>
      </w:r>
      <w:r w:rsidR="002A0B6D">
        <w:rPr>
          <w:rFonts w:ascii="Times New Roman" w:hAnsi="Times New Roman" w:cs="Times New Roman"/>
          <w:color w:val="000000" w:themeColor="text1"/>
          <w:sz w:val="24"/>
          <w:szCs w:val="24"/>
          <w:lang w:val="pt-BR"/>
        </w:rPr>
        <w:t>para o caso de dezoito ações por portfólio. Os resultados da figura 1 foram obtidos a partir de uma amostra de 500 portfólios aleatórios; os da figura 2, a partir de 50.000</w:t>
      </w:r>
    </w:p>
    <w:p w14:paraId="00FFCA3D" w14:textId="2F4FE273" w:rsidR="00734BB8" w:rsidRPr="00187208" w:rsidRDefault="00734BB8" w:rsidP="00734BB8">
      <w:pPr>
        <w:spacing w:line="360" w:lineRule="auto"/>
        <w:jc w:val="center"/>
        <w:rPr>
          <w:rFonts w:ascii="Times New Roman" w:hAnsi="Times New Roman" w:cs="Times New Roman"/>
          <w:color w:val="000000" w:themeColor="text1"/>
          <w:sz w:val="24"/>
          <w:szCs w:val="24"/>
          <w:lang w:val="pt-BR"/>
        </w:rPr>
      </w:pPr>
      <w:r>
        <w:rPr>
          <w:rFonts w:ascii="Times New Roman" w:hAnsi="Times New Roman" w:cs="Times New Roman"/>
          <w:color w:val="000000" w:themeColor="text1"/>
          <w:sz w:val="24"/>
          <w:szCs w:val="24"/>
          <w:lang w:val="pt-BR"/>
        </w:rPr>
        <w:lastRenderedPageBreak/>
        <w:t>Figura 1.</w:t>
      </w:r>
    </w:p>
    <w:p w14:paraId="62F4C8DF" w14:textId="192FD93D" w:rsidR="002A0B6D" w:rsidRDefault="002A0B6D" w:rsidP="002A0B6D">
      <w:pPr>
        <w:spacing w:line="360" w:lineRule="auto"/>
        <w:jc w:val="center"/>
        <w:rPr>
          <w:rFonts w:ascii="Times New Roman" w:hAnsi="Times New Roman" w:cs="Times New Roman"/>
          <w:b/>
          <w:bCs/>
          <w:color w:val="000000" w:themeColor="text1"/>
          <w:sz w:val="24"/>
          <w:szCs w:val="24"/>
          <w:lang w:val="pt-BR"/>
        </w:rPr>
      </w:pPr>
      <w:r>
        <w:rPr>
          <w:noProof/>
        </w:rPr>
        <w:drawing>
          <wp:inline distT="0" distB="0" distL="0" distR="0" wp14:anchorId="4ADAB572" wp14:editId="7AF19FC6">
            <wp:extent cx="5512537" cy="780287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9995" cy="7813434"/>
                    </a:xfrm>
                    <a:prstGeom prst="rect">
                      <a:avLst/>
                    </a:prstGeom>
                    <a:noFill/>
                    <a:ln>
                      <a:noFill/>
                    </a:ln>
                  </pic:spPr>
                </pic:pic>
              </a:graphicData>
            </a:graphic>
          </wp:inline>
        </w:drawing>
      </w:r>
    </w:p>
    <w:p w14:paraId="5BADAA89" w14:textId="54A30AF4" w:rsidR="00734BB8" w:rsidRPr="00734BB8" w:rsidRDefault="00734BB8" w:rsidP="002A0B6D">
      <w:pPr>
        <w:spacing w:line="360" w:lineRule="auto"/>
        <w:jc w:val="center"/>
        <w:rPr>
          <w:rFonts w:ascii="Times New Roman" w:hAnsi="Times New Roman" w:cs="Times New Roman"/>
          <w:color w:val="000000" w:themeColor="text1"/>
          <w:sz w:val="24"/>
          <w:szCs w:val="24"/>
          <w:lang w:val="pt-BR"/>
        </w:rPr>
      </w:pPr>
      <w:r w:rsidRPr="00734BB8">
        <w:rPr>
          <w:rFonts w:ascii="Times New Roman" w:hAnsi="Times New Roman" w:cs="Times New Roman"/>
          <w:color w:val="000000" w:themeColor="text1"/>
          <w:sz w:val="24"/>
          <w:szCs w:val="24"/>
          <w:lang w:val="pt-BR"/>
        </w:rPr>
        <w:lastRenderedPageBreak/>
        <w:t>Figura 2.</w:t>
      </w:r>
    </w:p>
    <w:p w14:paraId="168EBBAD" w14:textId="1624CDB2" w:rsidR="002A0B6D" w:rsidRPr="002A0B6D" w:rsidRDefault="002A0B6D" w:rsidP="002A0B6D">
      <w:pPr>
        <w:spacing w:line="360" w:lineRule="auto"/>
        <w:jc w:val="center"/>
        <w:rPr>
          <w:rFonts w:ascii="Times New Roman" w:hAnsi="Times New Roman" w:cs="Times New Roman"/>
          <w:b/>
          <w:bCs/>
          <w:color w:val="000000" w:themeColor="text1"/>
          <w:sz w:val="24"/>
          <w:szCs w:val="24"/>
          <w:lang w:val="pt-BR"/>
        </w:rPr>
      </w:pPr>
      <w:r>
        <w:rPr>
          <w:noProof/>
        </w:rPr>
        <w:drawing>
          <wp:inline distT="0" distB="0" distL="0" distR="0" wp14:anchorId="1FBFB267" wp14:editId="16619B36">
            <wp:extent cx="5568287" cy="7876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5062" cy="7913996"/>
                    </a:xfrm>
                    <a:prstGeom prst="rect">
                      <a:avLst/>
                    </a:prstGeom>
                    <a:noFill/>
                    <a:ln>
                      <a:noFill/>
                    </a:ln>
                  </pic:spPr>
                </pic:pic>
              </a:graphicData>
            </a:graphic>
          </wp:inline>
        </w:drawing>
      </w:r>
    </w:p>
    <w:p w14:paraId="01701E35" w14:textId="5FC387A3" w:rsidR="002A0B6D" w:rsidRDefault="00734BB8" w:rsidP="00921413">
      <w:pPr>
        <w:spacing w:line="360" w:lineRule="auto"/>
        <w:ind w:firstLine="720"/>
        <w:jc w:val="both"/>
        <w:rPr>
          <w:rStyle w:val="Hyperlink"/>
          <w:rFonts w:ascii="Times New Roman" w:hAnsi="Times New Roman" w:cs="Times New Roman"/>
          <w:color w:val="auto"/>
          <w:sz w:val="24"/>
          <w:szCs w:val="24"/>
          <w:u w:val="none"/>
          <w:lang w:val="pt-BR"/>
        </w:rPr>
      </w:pPr>
      <w:r>
        <w:rPr>
          <w:rFonts w:ascii="Times New Roman" w:hAnsi="Times New Roman" w:cs="Times New Roman"/>
          <w:color w:val="000000" w:themeColor="text1"/>
          <w:sz w:val="24"/>
          <w:szCs w:val="24"/>
          <w:lang w:val="pt-BR"/>
        </w:rPr>
        <w:lastRenderedPageBreak/>
        <w:t xml:space="preserve">Para todos os casos calculados, os mesmos gráficos estão disponíveis em </w:t>
      </w:r>
      <w:hyperlink r:id="rId10" w:history="1">
        <w:r w:rsidRPr="00187208">
          <w:rPr>
            <w:rStyle w:val="Hyperlink"/>
            <w:rFonts w:ascii="Times New Roman" w:hAnsi="Times New Roman" w:cs="Times New Roman"/>
            <w:color w:val="auto"/>
            <w:sz w:val="24"/>
            <w:szCs w:val="24"/>
            <w:u w:val="none"/>
            <w:lang w:val="pt-BR"/>
          </w:rPr>
          <w:t>https://github.com/ZeVZobaran/ibovPortfoliosSd</w:t>
        </w:r>
      </w:hyperlink>
      <w:r>
        <w:rPr>
          <w:rStyle w:val="Hyperlink"/>
          <w:rFonts w:ascii="Times New Roman" w:hAnsi="Times New Roman" w:cs="Times New Roman"/>
          <w:color w:val="auto"/>
          <w:sz w:val="24"/>
          <w:szCs w:val="24"/>
          <w:u w:val="none"/>
          <w:lang w:val="pt-BR"/>
        </w:rPr>
        <w:t>.</w:t>
      </w:r>
    </w:p>
    <w:p w14:paraId="2E322708" w14:textId="5A9D2C61" w:rsidR="00734BB8" w:rsidRDefault="00734BB8" w:rsidP="00921413">
      <w:pPr>
        <w:spacing w:line="360" w:lineRule="auto"/>
        <w:ind w:firstLine="720"/>
        <w:jc w:val="both"/>
        <w:rPr>
          <w:rStyle w:val="Hyperlink"/>
          <w:rFonts w:ascii="Times New Roman" w:hAnsi="Times New Roman" w:cs="Times New Roman"/>
          <w:color w:val="auto"/>
          <w:sz w:val="24"/>
          <w:szCs w:val="24"/>
          <w:u w:val="none"/>
          <w:lang w:val="pt-BR"/>
        </w:rPr>
      </w:pPr>
      <w:r>
        <w:rPr>
          <w:rStyle w:val="Hyperlink"/>
          <w:rFonts w:ascii="Times New Roman" w:hAnsi="Times New Roman" w:cs="Times New Roman"/>
          <w:color w:val="auto"/>
          <w:sz w:val="24"/>
          <w:szCs w:val="24"/>
          <w:u w:val="none"/>
          <w:lang w:val="pt-BR"/>
        </w:rPr>
        <w:t>Os resultados apresentados endossam a nossa opção por rejeitar o uso de testes de normalidade clássicos, que para ambas as amostras apresentadas rejeitam a hipótese de normalidade</w:t>
      </w:r>
      <w:r w:rsidR="00921413">
        <w:rPr>
          <w:rStyle w:val="Hyperlink"/>
          <w:rFonts w:ascii="Times New Roman" w:hAnsi="Times New Roman" w:cs="Times New Roman"/>
          <w:color w:val="auto"/>
          <w:sz w:val="24"/>
          <w:szCs w:val="24"/>
          <w:u w:val="none"/>
          <w:lang w:val="pt-BR"/>
        </w:rPr>
        <w:t xml:space="preserve">. Além disso, a progressão da figura 1 para a 2, em que pode-se notar que com um aumento do tamanho da amostra a distribuição dos desvios padrões aproxima-se de uma distribuição normal mesmo sem que tenhamos garantia da validade da lei dos grandes números, é promissora para a hipótese de normalidade e, portanto, de validez do uso de amostras para representar a população. Igualmente promissor é o fato de que, apesar das curvas ficaram mais suaves com o aumento da amostra, o espaço que elas ocupam continua similar; não parece que o aumento da amostra </w:t>
      </w:r>
      <w:r w:rsidR="00C42C34">
        <w:rPr>
          <w:rStyle w:val="Hyperlink"/>
          <w:rFonts w:ascii="Times New Roman" w:hAnsi="Times New Roman" w:cs="Times New Roman"/>
          <w:color w:val="auto"/>
          <w:sz w:val="24"/>
          <w:szCs w:val="24"/>
          <w:u w:val="none"/>
          <w:lang w:val="pt-BR"/>
        </w:rPr>
        <w:t>transforme</w:t>
      </w:r>
      <w:r w:rsidR="00921413">
        <w:rPr>
          <w:rStyle w:val="Hyperlink"/>
          <w:rFonts w:ascii="Times New Roman" w:hAnsi="Times New Roman" w:cs="Times New Roman"/>
          <w:color w:val="auto"/>
          <w:sz w:val="24"/>
          <w:szCs w:val="24"/>
          <w:u w:val="none"/>
          <w:lang w:val="pt-BR"/>
        </w:rPr>
        <w:t xml:space="preserve"> desvio padrões que eram </w:t>
      </w:r>
      <w:r w:rsidR="00921413">
        <w:rPr>
          <w:rStyle w:val="Hyperlink"/>
          <w:rFonts w:ascii="Times New Roman" w:hAnsi="Times New Roman" w:cs="Times New Roman"/>
          <w:i/>
          <w:iCs/>
          <w:color w:val="auto"/>
          <w:sz w:val="24"/>
          <w:szCs w:val="24"/>
          <w:u w:val="none"/>
          <w:lang w:val="pt-BR"/>
        </w:rPr>
        <w:t>outliers</w:t>
      </w:r>
      <w:r w:rsidR="00921413">
        <w:rPr>
          <w:rStyle w:val="Hyperlink"/>
          <w:rFonts w:ascii="Times New Roman" w:hAnsi="Times New Roman" w:cs="Times New Roman"/>
          <w:color w:val="auto"/>
          <w:sz w:val="24"/>
          <w:szCs w:val="24"/>
          <w:u w:val="none"/>
          <w:lang w:val="pt-BR"/>
        </w:rPr>
        <w:t xml:space="preserve"> em observações usuais.</w:t>
      </w:r>
    </w:p>
    <w:p w14:paraId="211EF978" w14:textId="2F7FD5FE" w:rsidR="00921413" w:rsidRDefault="00921413" w:rsidP="000F170F">
      <w:pPr>
        <w:spacing w:line="360" w:lineRule="auto"/>
        <w:jc w:val="both"/>
        <w:rPr>
          <w:rFonts w:ascii="Times New Roman" w:hAnsi="Times New Roman" w:cs="Times New Roman"/>
          <w:color w:val="000000" w:themeColor="text1"/>
          <w:sz w:val="24"/>
          <w:szCs w:val="24"/>
          <w:lang w:val="pt-BR"/>
        </w:rPr>
      </w:pPr>
      <w:r>
        <w:rPr>
          <w:rFonts w:ascii="Times New Roman" w:hAnsi="Times New Roman" w:cs="Times New Roman"/>
          <w:color w:val="000000" w:themeColor="text1"/>
          <w:sz w:val="24"/>
          <w:szCs w:val="24"/>
          <w:lang w:val="pt-BR"/>
        </w:rPr>
        <w:tab/>
        <w:t xml:space="preserve">O comportamento aparentemente anormal da cauda inferior das distribuições, especialmente perceptível no gráfico </w:t>
      </w:r>
      <w:proofErr w:type="spellStart"/>
      <w:r>
        <w:rPr>
          <w:rFonts w:ascii="Times New Roman" w:hAnsi="Times New Roman" w:cs="Times New Roman"/>
          <w:color w:val="000000" w:themeColor="text1"/>
          <w:sz w:val="24"/>
          <w:szCs w:val="24"/>
          <w:lang w:val="pt-BR"/>
        </w:rPr>
        <w:t>quantil-quantil</w:t>
      </w:r>
      <w:proofErr w:type="spellEnd"/>
      <w:r>
        <w:rPr>
          <w:rFonts w:ascii="Times New Roman" w:hAnsi="Times New Roman" w:cs="Times New Roman"/>
          <w:color w:val="000000" w:themeColor="text1"/>
          <w:sz w:val="24"/>
          <w:szCs w:val="24"/>
          <w:lang w:val="pt-BR"/>
        </w:rPr>
        <w:t xml:space="preserve"> da figura 2, tampouco é surpreendente. Desvios padrões de portfólios possuem um limite inferior maior do que zero (o que ficará ainda mais claro quando observarmos os gráficos de convergência de desvio padrão, a seguir), e é de se esperar que, no inicio da distribuição, eles sejam mais concentrados em valores ligeiramente mais altos do que uma normal estabeleceria. A diferença, no entanto, é apenas marginal, e o nosso maior interesse está na sessão superior de desvios padrões, que representam os portfólios de alto risco, de forma que essa questão não é problemática.</w:t>
      </w:r>
    </w:p>
    <w:p w14:paraId="6F5FF902" w14:textId="471C4104" w:rsidR="008C77CF" w:rsidRDefault="008C77CF" w:rsidP="000F170F">
      <w:pPr>
        <w:spacing w:line="360" w:lineRule="auto"/>
        <w:jc w:val="both"/>
        <w:rPr>
          <w:rStyle w:val="Hyperlink"/>
          <w:rFonts w:ascii="Times New Roman" w:hAnsi="Times New Roman" w:cs="Times New Roman"/>
          <w:color w:val="auto"/>
          <w:sz w:val="24"/>
          <w:szCs w:val="24"/>
          <w:u w:val="none"/>
          <w:lang w:val="pt-BR"/>
        </w:rPr>
      </w:pPr>
      <w:r>
        <w:rPr>
          <w:rFonts w:ascii="Times New Roman" w:hAnsi="Times New Roman" w:cs="Times New Roman"/>
          <w:color w:val="000000" w:themeColor="text1"/>
          <w:sz w:val="24"/>
          <w:szCs w:val="24"/>
          <w:lang w:val="pt-BR"/>
        </w:rPr>
        <w:tab/>
        <w:t xml:space="preserve">Com esses resultados, podemos ter confiança de que as curvas de convergência apresentadas nas figuras </w:t>
      </w:r>
      <w:r w:rsidR="003B7CF0">
        <w:rPr>
          <w:rFonts w:ascii="Times New Roman" w:hAnsi="Times New Roman" w:cs="Times New Roman"/>
          <w:color w:val="000000" w:themeColor="text1"/>
          <w:sz w:val="24"/>
          <w:szCs w:val="24"/>
          <w:lang w:val="pt-BR"/>
        </w:rPr>
        <w:t xml:space="preserve">3 e 4 são válidas. Apresentamos os resultados para amostras de 500 e 50.000 portfólios respectivamente. Os resultados para outros tamanhos de amostra estão disponíveis em  </w:t>
      </w:r>
      <w:hyperlink r:id="rId11" w:history="1">
        <w:r w:rsidR="003B7CF0" w:rsidRPr="00187208">
          <w:rPr>
            <w:rStyle w:val="Hyperlink"/>
            <w:rFonts w:ascii="Times New Roman" w:hAnsi="Times New Roman" w:cs="Times New Roman"/>
            <w:color w:val="auto"/>
            <w:sz w:val="24"/>
            <w:szCs w:val="24"/>
            <w:u w:val="none"/>
            <w:lang w:val="pt-BR"/>
          </w:rPr>
          <w:t>https://github.com/ZeVZobaran/ibovPortfoliosSd</w:t>
        </w:r>
      </w:hyperlink>
      <w:r w:rsidR="003B7CF0">
        <w:rPr>
          <w:rStyle w:val="Hyperlink"/>
          <w:rFonts w:ascii="Times New Roman" w:hAnsi="Times New Roman" w:cs="Times New Roman"/>
          <w:color w:val="auto"/>
          <w:sz w:val="24"/>
          <w:szCs w:val="24"/>
          <w:u w:val="none"/>
          <w:lang w:val="pt-BR"/>
        </w:rPr>
        <w:t>.</w:t>
      </w:r>
    </w:p>
    <w:p w14:paraId="4EBDBD4C" w14:textId="77777777" w:rsidR="004903C1" w:rsidRDefault="004903C1" w:rsidP="000F170F">
      <w:pPr>
        <w:spacing w:line="360" w:lineRule="auto"/>
        <w:jc w:val="center"/>
        <w:rPr>
          <w:rStyle w:val="Hyperlink"/>
          <w:rFonts w:ascii="Times New Roman" w:hAnsi="Times New Roman" w:cs="Times New Roman"/>
          <w:color w:val="auto"/>
          <w:sz w:val="24"/>
          <w:szCs w:val="24"/>
          <w:u w:val="none"/>
          <w:lang w:val="pt-BR"/>
        </w:rPr>
      </w:pPr>
    </w:p>
    <w:p w14:paraId="74FE4CA6" w14:textId="77777777" w:rsidR="004903C1" w:rsidRDefault="004903C1" w:rsidP="000F170F">
      <w:pPr>
        <w:spacing w:line="360" w:lineRule="auto"/>
        <w:jc w:val="center"/>
        <w:rPr>
          <w:rStyle w:val="Hyperlink"/>
          <w:rFonts w:ascii="Times New Roman" w:hAnsi="Times New Roman" w:cs="Times New Roman"/>
          <w:color w:val="auto"/>
          <w:sz w:val="24"/>
          <w:szCs w:val="24"/>
          <w:u w:val="none"/>
          <w:lang w:val="pt-BR"/>
        </w:rPr>
      </w:pPr>
    </w:p>
    <w:p w14:paraId="60BDE8E0" w14:textId="77777777" w:rsidR="004903C1" w:rsidRDefault="004903C1" w:rsidP="000F170F">
      <w:pPr>
        <w:spacing w:line="360" w:lineRule="auto"/>
        <w:jc w:val="center"/>
        <w:rPr>
          <w:rStyle w:val="Hyperlink"/>
          <w:rFonts w:ascii="Times New Roman" w:hAnsi="Times New Roman" w:cs="Times New Roman"/>
          <w:color w:val="auto"/>
          <w:sz w:val="24"/>
          <w:szCs w:val="24"/>
          <w:u w:val="none"/>
          <w:lang w:val="pt-BR"/>
        </w:rPr>
      </w:pPr>
    </w:p>
    <w:p w14:paraId="250DFEEA" w14:textId="77777777" w:rsidR="004903C1" w:rsidRDefault="004903C1" w:rsidP="000F170F">
      <w:pPr>
        <w:spacing w:line="360" w:lineRule="auto"/>
        <w:jc w:val="center"/>
        <w:rPr>
          <w:rStyle w:val="Hyperlink"/>
          <w:rFonts w:ascii="Times New Roman" w:hAnsi="Times New Roman" w:cs="Times New Roman"/>
          <w:color w:val="auto"/>
          <w:sz w:val="24"/>
          <w:szCs w:val="24"/>
          <w:u w:val="none"/>
          <w:lang w:val="pt-BR"/>
        </w:rPr>
      </w:pPr>
    </w:p>
    <w:p w14:paraId="050D9AF1" w14:textId="77777777" w:rsidR="004903C1" w:rsidRDefault="004903C1" w:rsidP="000F170F">
      <w:pPr>
        <w:spacing w:line="360" w:lineRule="auto"/>
        <w:jc w:val="center"/>
        <w:rPr>
          <w:rStyle w:val="Hyperlink"/>
          <w:rFonts w:ascii="Times New Roman" w:hAnsi="Times New Roman" w:cs="Times New Roman"/>
          <w:color w:val="auto"/>
          <w:sz w:val="24"/>
          <w:szCs w:val="24"/>
          <w:u w:val="none"/>
          <w:lang w:val="pt-BR"/>
        </w:rPr>
      </w:pPr>
    </w:p>
    <w:p w14:paraId="16BF0ACC" w14:textId="24F92503" w:rsidR="00033B0F" w:rsidRDefault="00033B0F" w:rsidP="000F170F">
      <w:pPr>
        <w:spacing w:line="360" w:lineRule="auto"/>
        <w:jc w:val="center"/>
        <w:rPr>
          <w:rStyle w:val="Hyperlink"/>
          <w:rFonts w:ascii="Times New Roman" w:hAnsi="Times New Roman" w:cs="Times New Roman"/>
          <w:color w:val="auto"/>
          <w:sz w:val="24"/>
          <w:szCs w:val="24"/>
          <w:u w:val="none"/>
          <w:lang w:val="pt-BR"/>
        </w:rPr>
      </w:pPr>
      <w:r>
        <w:rPr>
          <w:rStyle w:val="Hyperlink"/>
          <w:rFonts w:ascii="Times New Roman" w:hAnsi="Times New Roman" w:cs="Times New Roman"/>
          <w:color w:val="auto"/>
          <w:sz w:val="24"/>
          <w:szCs w:val="24"/>
          <w:u w:val="none"/>
          <w:lang w:val="pt-BR"/>
        </w:rPr>
        <w:t>Figura 3.</w:t>
      </w:r>
    </w:p>
    <w:p w14:paraId="31A1601F" w14:textId="164AFD78" w:rsidR="00033B0F" w:rsidRDefault="00033B0F" w:rsidP="000F170F">
      <w:pPr>
        <w:spacing w:line="360" w:lineRule="auto"/>
        <w:jc w:val="both"/>
        <w:rPr>
          <w:rStyle w:val="Hyperlink"/>
          <w:rFonts w:ascii="Times New Roman" w:hAnsi="Times New Roman" w:cs="Times New Roman"/>
          <w:color w:val="auto"/>
          <w:sz w:val="24"/>
          <w:szCs w:val="24"/>
          <w:u w:val="none"/>
          <w:lang w:val="pt-BR"/>
        </w:rPr>
      </w:pPr>
      <w:r>
        <w:rPr>
          <w:noProof/>
        </w:rPr>
        <w:drawing>
          <wp:inline distT="0" distB="0" distL="0" distR="0" wp14:anchorId="68C3979F" wp14:editId="11DD9B0C">
            <wp:extent cx="6028371" cy="268064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8371" cy="2680640"/>
                    </a:xfrm>
                    <a:prstGeom prst="rect">
                      <a:avLst/>
                    </a:prstGeom>
                    <a:noFill/>
                    <a:ln>
                      <a:noFill/>
                    </a:ln>
                  </pic:spPr>
                </pic:pic>
              </a:graphicData>
            </a:graphic>
          </wp:inline>
        </w:drawing>
      </w:r>
    </w:p>
    <w:p w14:paraId="55EAAB7A" w14:textId="26C13AB8" w:rsidR="00C94D13" w:rsidRDefault="00C94D13" w:rsidP="000F170F">
      <w:pPr>
        <w:spacing w:line="360" w:lineRule="auto"/>
        <w:jc w:val="both"/>
        <w:rPr>
          <w:rStyle w:val="Hyperlink"/>
          <w:rFonts w:ascii="Times New Roman" w:hAnsi="Times New Roman" w:cs="Times New Roman"/>
          <w:color w:val="auto"/>
          <w:sz w:val="24"/>
          <w:szCs w:val="24"/>
          <w:u w:val="none"/>
          <w:lang w:val="pt-BR"/>
        </w:rPr>
      </w:pPr>
    </w:p>
    <w:p w14:paraId="180397F7" w14:textId="77777777" w:rsidR="00C94D13" w:rsidRDefault="00C94D13" w:rsidP="000F170F">
      <w:pPr>
        <w:spacing w:line="360" w:lineRule="auto"/>
        <w:jc w:val="both"/>
        <w:rPr>
          <w:rStyle w:val="Hyperlink"/>
          <w:rFonts w:ascii="Times New Roman" w:hAnsi="Times New Roman" w:cs="Times New Roman"/>
          <w:color w:val="auto"/>
          <w:sz w:val="24"/>
          <w:szCs w:val="24"/>
          <w:u w:val="none"/>
          <w:lang w:val="pt-BR"/>
        </w:rPr>
      </w:pPr>
    </w:p>
    <w:p w14:paraId="623AA5E4" w14:textId="77777777" w:rsidR="00033B0F" w:rsidRDefault="00033B0F" w:rsidP="000F170F">
      <w:pPr>
        <w:spacing w:line="360" w:lineRule="auto"/>
        <w:jc w:val="both"/>
        <w:rPr>
          <w:rStyle w:val="Hyperlink"/>
          <w:rFonts w:ascii="Times New Roman" w:hAnsi="Times New Roman" w:cs="Times New Roman"/>
          <w:color w:val="auto"/>
          <w:sz w:val="24"/>
          <w:szCs w:val="24"/>
          <w:u w:val="none"/>
          <w:lang w:val="pt-BR"/>
        </w:rPr>
      </w:pPr>
    </w:p>
    <w:p w14:paraId="3B60B9AC" w14:textId="5AA079C6" w:rsidR="00033B0F" w:rsidRDefault="00033B0F" w:rsidP="000F170F">
      <w:pPr>
        <w:spacing w:line="360" w:lineRule="auto"/>
        <w:jc w:val="center"/>
        <w:rPr>
          <w:rStyle w:val="Hyperlink"/>
          <w:rFonts w:ascii="Times New Roman" w:hAnsi="Times New Roman" w:cs="Times New Roman"/>
          <w:color w:val="auto"/>
          <w:sz w:val="24"/>
          <w:szCs w:val="24"/>
          <w:u w:val="none"/>
          <w:lang w:val="pt-BR"/>
        </w:rPr>
      </w:pPr>
      <w:r>
        <w:rPr>
          <w:rStyle w:val="Hyperlink"/>
          <w:rFonts w:ascii="Times New Roman" w:hAnsi="Times New Roman" w:cs="Times New Roman"/>
          <w:color w:val="auto"/>
          <w:sz w:val="24"/>
          <w:szCs w:val="24"/>
          <w:u w:val="none"/>
          <w:lang w:val="pt-BR"/>
        </w:rPr>
        <w:t>Figura 4.</w:t>
      </w:r>
    </w:p>
    <w:p w14:paraId="1BA6C87F" w14:textId="204E292C" w:rsidR="00033B0F" w:rsidRDefault="00033B0F" w:rsidP="000F170F">
      <w:pPr>
        <w:spacing w:line="360" w:lineRule="auto"/>
        <w:jc w:val="both"/>
        <w:rPr>
          <w:rStyle w:val="Hyperlink"/>
          <w:rFonts w:ascii="Times New Roman" w:hAnsi="Times New Roman" w:cs="Times New Roman"/>
          <w:color w:val="auto"/>
          <w:sz w:val="24"/>
          <w:szCs w:val="24"/>
          <w:u w:val="none"/>
          <w:lang w:val="pt-BR"/>
        </w:rPr>
      </w:pPr>
      <w:r>
        <w:rPr>
          <w:noProof/>
        </w:rPr>
        <w:drawing>
          <wp:inline distT="0" distB="0" distL="0" distR="0" wp14:anchorId="10FFAAF7" wp14:editId="1A03D6A5">
            <wp:extent cx="6030000" cy="2679318"/>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0000" cy="2679318"/>
                    </a:xfrm>
                    <a:prstGeom prst="rect">
                      <a:avLst/>
                    </a:prstGeom>
                    <a:noFill/>
                    <a:ln>
                      <a:noFill/>
                    </a:ln>
                  </pic:spPr>
                </pic:pic>
              </a:graphicData>
            </a:graphic>
          </wp:inline>
        </w:drawing>
      </w:r>
    </w:p>
    <w:p w14:paraId="2E7A4B07" w14:textId="2940F014" w:rsidR="00033B0F" w:rsidRDefault="00033B0F" w:rsidP="000F170F">
      <w:pPr>
        <w:spacing w:line="360" w:lineRule="auto"/>
        <w:ind w:firstLine="720"/>
        <w:jc w:val="both"/>
        <w:rPr>
          <w:rStyle w:val="Hyperlink"/>
          <w:rFonts w:ascii="Times New Roman" w:hAnsi="Times New Roman" w:cs="Times New Roman"/>
          <w:color w:val="auto"/>
          <w:sz w:val="24"/>
          <w:szCs w:val="24"/>
          <w:u w:val="none"/>
          <w:lang w:val="pt-BR"/>
        </w:rPr>
      </w:pPr>
      <w:r>
        <w:rPr>
          <w:rStyle w:val="Hyperlink"/>
          <w:rFonts w:ascii="Times New Roman" w:hAnsi="Times New Roman" w:cs="Times New Roman"/>
          <w:color w:val="auto"/>
          <w:sz w:val="24"/>
          <w:szCs w:val="24"/>
          <w:u w:val="none"/>
          <w:lang w:val="pt-BR"/>
        </w:rPr>
        <w:lastRenderedPageBreak/>
        <w:t xml:space="preserve">Mais uma vez, a semelhança entre as duas figuras reforça nossa confiança na validade dos resultados. Em particular, o fato de a mediana do desvio padrão amostral para o caso de duas ações por portifólio (figura 3) estar muito próxima à mediana do desvio padrão populacional para esse mesmo caso (figura 4) é reconfortante. Como antes, o principal efeito do aumento da amostra parece ser o de suavizar a trajetória das curvas, </w:t>
      </w:r>
      <w:r w:rsidR="003A7ED6">
        <w:rPr>
          <w:rStyle w:val="Hyperlink"/>
          <w:rFonts w:ascii="Times New Roman" w:hAnsi="Times New Roman" w:cs="Times New Roman"/>
          <w:color w:val="auto"/>
          <w:sz w:val="24"/>
          <w:szCs w:val="24"/>
          <w:u w:val="none"/>
          <w:lang w:val="pt-BR"/>
        </w:rPr>
        <w:t>tanto das medianas quanto</w:t>
      </w:r>
      <w:r>
        <w:rPr>
          <w:rStyle w:val="Hyperlink"/>
          <w:rFonts w:ascii="Times New Roman" w:hAnsi="Times New Roman" w:cs="Times New Roman"/>
          <w:color w:val="auto"/>
          <w:sz w:val="24"/>
          <w:szCs w:val="24"/>
          <w:u w:val="none"/>
          <w:lang w:val="pt-BR"/>
        </w:rPr>
        <w:t xml:space="preserve"> das bandas de +- um desvio padrão e de 95% dos resultados obtidos. Observamos também que o nosso teste de normalidade adaptado é satisfeito em quase todos os pontos, com apenas uma exceção importante na figura 4 (o penúltimo). Não normalidade no caso de uma ação por portfólio não é importante, visto que são poucas as observações possíveis (apenas uma para cada ação; 37 no universo utilizado)</w:t>
      </w:r>
      <w:r w:rsidR="00C94D13">
        <w:rPr>
          <w:rStyle w:val="Hyperlink"/>
          <w:rFonts w:ascii="Times New Roman" w:hAnsi="Times New Roman" w:cs="Times New Roman"/>
          <w:color w:val="auto"/>
          <w:sz w:val="24"/>
          <w:szCs w:val="24"/>
          <w:u w:val="none"/>
          <w:lang w:val="pt-BR"/>
        </w:rPr>
        <w:t>, e é esperado no caso do portfólio de mercado, pois como só há uma observação possível não se pode definir uma distribuição.</w:t>
      </w:r>
    </w:p>
    <w:p w14:paraId="52262DF2" w14:textId="62FAA743" w:rsidR="003A7ED6" w:rsidRDefault="003A7ED6" w:rsidP="000F170F">
      <w:pPr>
        <w:spacing w:line="360" w:lineRule="auto"/>
        <w:ind w:firstLine="720"/>
        <w:jc w:val="both"/>
        <w:rPr>
          <w:rStyle w:val="Hyperlink"/>
          <w:rFonts w:ascii="Times New Roman" w:hAnsi="Times New Roman" w:cs="Times New Roman"/>
          <w:color w:val="auto"/>
          <w:sz w:val="24"/>
          <w:szCs w:val="24"/>
          <w:u w:val="none"/>
          <w:lang w:val="pt-BR"/>
        </w:rPr>
      </w:pPr>
      <w:r>
        <w:rPr>
          <w:rStyle w:val="Hyperlink"/>
          <w:rFonts w:ascii="Times New Roman" w:hAnsi="Times New Roman" w:cs="Times New Roman"/>
          <w:color w:val="auto"/>
          <w:sz w:val="24"/>
          <w:szCs w:val="24"/>
          <w:u w:val="none"/>
          <w:lang w:val="pt-BR"/>
        </w:rPr>
        <w:t xml:space="preserve">As medianas dos desvios padrões dos retornos de cada tamanho de portfólio possível descrevem uma curva </w:t>
      </w:r>
      <w:proofErr w:type="spellStart"/>
      <w:r>
        <w:rPr>
          <w:rStyle w:val="Hyperlink"/>
          <w:rFonts w:ascii="Times New Roman" w:hAnsi="Times New Roman" w:cs="Times New Roman"/>
          <w:color w:val="auto"/>
          <w:sz w:val="24"/>
          <w:szCs w:val="24"/>
          <w:u w:val="none"/>
          <w:lang w:val="pt-BR"/>
        </w:rPr>
        <w:t>monotonicamente</w:t>
      </w:r>
      <w:proofErr w:type="spellEnd"/>
      <w:r>
        <w:rPr>
          <w:rStyle w:val="Hyperlink"/>
          <w:rFonts w:ascii="Times New Roman" w:hAnsi="Times New Roman" w:cs="Times New Roman"/>
          <w:color w:val="auto"/>
          <w:sz w:val="24"/>
          <w:szCs w:val="24"/>
          <w:u w:val="none"/>
          <w:lang w:val="pt-BR"/>
        </w:rPr>
        <w:t xml:space="preserve"> decrescente na qual os ganhos marginais até aproximadamente cinco ações são significativos. A partir desse ponto, e apesar de ainda se haver ganhos absolutos importantes por realizar, não é mais visualmente claro que um aumento de portfólio seja justificado na margem. Essa discussão será feita em maior profundidade no capítulo 5, quando compararemos ganhos com custos por diversificação, e utilizaremos métodos estatísticos para definir a existência de ganhos marginais e absolutos, e se a extinção dos primeiros justifica que se ignore os segundos. Essa discussão é sugerida por Elton e </w:t>
      </w:r>
      <w:proofErr w:type="spellStart"/>
      <w:r>
        <w:rPr>
          <w:rStyle w:val="Hyperlink"/>
          <w:rFonts w:ascii="Times New Roman" w:hAnsi="Times New Roman" w:cs="Times New Roman"/>
          <w:color w:val="auto"/>
          <w:sz w:val="24"/>
          <w:szCs w:val="24"/>
          <w:u w:val="none"/>
          <w:lang w:val="pt-BR"/>
        </w:rPr>
        <w:t>Grueber</w:t>
      </w:r>
      <w:proofErr w:type="spellEnd"/>
      <w:r>
        <w:rPr>
          <w:rStyle w:val="Hyperlink"/>
          <w:rFonts w:ascii="Times New Roman" w:hAnsi="Times New Roman" w:cs="Times New Roman"/>
          <w:color w:val="auto"/>
          <w:sz w:val="24"/>
          <w:szCs w:val="24"/>
          <w:u w:val="none"/>
          <w:lang w:val="pt-BR"/>
        </w:rPr>
        <w:t xml:space="preserve"> (1977), mas eles pouco se aprofundam no tema. </w:t>
      </w:r>
      <w:r w:rsidR="00B11134">
        <w:rPr>
          <w:rStyle w:val="Hyperlink"/>
          <w:rFonts w:ascii="Times New Roman" w:hAnsi="Times New Roman" w:cs="Times New Roman"/>
          <w:color w:val="auto"/>
          <w:sz w:val="24"/>
          <w:szCs w:val="24"/>
          <w:u w:val="none"/>
          <w:lang w:val="pt-BR"/>
        </w:rPr>
        <w:t>Interessantemente, o desvio padrão amostral mediano converge para o de mercado antes de se atingir o portifólio de mercado pleno. Isso pode se dever ao tamanho limitado do universo de ações de que estamos tratando, mas pode indicar também que o retorno histórico de certos ativos é linearmente dependente dos retornos do resto do mercado, o que justificaria o comportamento visto e indicaria alto grau de correlação entre certas empresas ou grupos de empresas na bolsa brasileira.</w:t>
      </w:r>
    </w:p>
    <w:p w14:paraId="44EFB3BE" w14:textId="56C80179" w:rsidR="00B11134" w:rsidRDefault="00B11134" w:rsidP="000F170F">
      <w:pPr>
        <w:spacing w:line="360" w:lineRule="auto"/>
        <w:ind w:firstLine="720"/>
        <w:jc w:val="both"/>
        <w:rPr>
          <w:rStyle w:val="Hyperlink"/>
          <w:rFonts w:ascii="Times New Roman" w:hAnsi="Times New Roman" w:cs="Times New Roman"/>
          <w:color w:val="auto"/>
          <w:sz w:val="24"/>
          <w:szCs w:val="24"/>
          <w:u w:val="none"/>
          <w:lang w:val="pt-BR"/>
        </w:rPr>
      </w:pPr>
      <w:r>
        <w:rPr>
          <w:rStyle w:val="Hyperlink"/>
          <w:rFonts w:ascii="Times New Roman" w:hAnsi="Times New Roman" w:cs="Times New Roman"/>
          <w:color w:val="auto"/>
          <w:sz w:val="24"/>
          <w:szCs w:val="24"/>
          <w:u w:val="none"/>
          <w:lang w:val="pt-BR"/>
        </w:rPr>
        <w:t xml:space="preserve">O comportamento das bandas superiores é similar ao das medianas e em linha com o esperado. As bandas inferiores, no entanto, apresentam resultados interessantes. O desvio padrão dos retornos dos portfólios cuja volatilidade (usados como sinônimos) é um desvio padrão menor do que a volatilidade mediana (apresentados como o limiar inferior da linha </w:t>
      </w:r>
      <w:r>
        <w:rPr>
          <w:rStyle w:val="Hyperlink"/>
          <w:rFonts w:ascii="Times New Roman" w:hAnsi="Times New Roman" w:cs="Times New Roman"/>
          <w:color w:val="auto"/>
          <w:sz w:val="24"/>
          <w:szCs w:val="24"/>
          <w:u w:val="none"/>
          <w:lang w:val="pt-BR"/>
        </w:rPr>
        <w:lastRenderedPageBreak/>
        <w:t xml:space="preserve">vermelha) é </w:t>
      </w:r>
      <w:r w:rsidR="004A61E8">
        <w:rPr>
          <w:rStyle w:val="Hyperlink"/>
          <w:rFonts w:ascii="Times New Roman" w:hAnsi="Times New Roman" w:cs="Times New Roman"/>
          <w:color w:val="auto"/>
          <w:sz w:val="24"/>
          <w:szCs w:val="24"/>
          <w:u w:val="none"/>
          <w:lang w:val="pt-BR"/>
        </w:rPr>
        <w:t xml:space="preserve">próximo de 0.06, um pouco menor do que a de mercado, </w:t>
      </w:r>
      <w:r>
        <w:rPr>
          <w:rStyle w:val="Hyperlink"/>
          <w:rFonts w:ascii="Times New Roman" w:hAnsi="Times New Roman" w:cs="Times New Roman"/>
          <w:color w:val="auto"/>
          <w:sz w:val="24"/>
          <w:szCs w:val="24"/>
          <w:u w:val="none"/>
          <w:lang w:val="pt-BR"/>
        </w:rPr>
        <w:t>independente ao tamanho de portfólio selecionado</w:t>
      </w:r>
      <w:r w:rsidR="004A61E8">
        <w:rPr>
          <w:rStyle w:val="Hyperlink"/>
          <w:rFonts w:ascii="Times New Roman" w:hAnsi="Times New Roman" w:cs="Times New Roman"/>
          <w:color w:val="auto"/>
          <w:sz w:val="24"/>
          <w:szCs w:val="24"/>
          <w:u w:val="none"/>
          <w:lang w:val="pt-BR"/>
        </w:rPr>
        <w:t xml:space="preserve">. A consistência desse resultado demonstra a dificuldade de se construir um portfólio aleatório com volatilidade realmente baixa. Uma interpretação possível para a aderência desse nível é que ele seja </w:t>
      </w:r>
      <w:r w:rsidR="000F170F">
        <w:rPr>
          <w:rStyle w:val="Hyperlink"/>
          <w:rFonts w:ascii="Times New Roman" w:hAnsi="Times New Roman" w:cs="Times New Roman"/>
          <w:color w:val="auto"/>
          <w:sz w:val="24"/>
          <w:szCs w:val="24"/>
          <w:u w:val="none"/>
          <w:lang w:val="pt-BR"/>
        </w:rPr>
        <w:t xml:space="preserve">o resultado da soma do desvio padrão de mercado (o risco sistêmico) e a média dos riscos </w:t>
      </w:r>
      <w:proofErr w:type="gramStart"/>
      <w:r w:rsidR="000F170F">
        <w:rPr>
          <w:rStyle w:val="Hyperlink"/>
          <w:rFonts w:ascii="Times New Roman" w:hAnsi="Times New Roman" w:cs="Times New Roman"/>
          <w:color w:val="auto"/>
          <w:sz w:val="24"/>
          <w:szCs w:val="24"/>
          <w:u w:val="none"/>
          <w:lang w:val="pt-BR"/>
        </w:rPr>
        <w:t>idiossincráticos</w:t>
      </w:r>
      <w:proofErr w:type="gramEnd"/>
      <w:r w:rsidR="000F170F">
        <w:rPr>
          <w:rStyle w:val="Hyperlink"/>
          <w:rFonts w:ascii="Times New Roman" w:hAnsi="Times New Roman" w:cs="Times New Roman"/>
          <w:color w:val="auto"/>
          <w:sz w:val="24"/>
          <w:szCs w:val="24"/>
          <w:u w:val="none"/>
          <w:lang w:val="pt-BR"/>
        </w:rPr>
        <w:t xml:space="preserve"> de todas as ações disponíveis. Testar essa hipótese requereria o cálculo desse risco para cada ação, no entanto.</w:t>
      </w:r>
    </w:p>
    <w:p w14:paraId="51ED6C80" w14:textId="151A665E" w:rsidR="000F170F" w:rsidRPr="000F170F" w:rsidRDefault="000F170F" w:rsidP="000F170F">
      <w:pPr>
        <w:spacing w:line="360" w:lineRule="auto"/>
        <w:ind w:firstLine="720"/>
        <w:jc w:val="both"/>
        <w:rPr>
          <w:rStyle w:val="Hyperlink"/>
          <w:rFonts w:ascii="Times New Roman" w:hAnsi="Times New Roman" w:cs="Times New Roman"/>
          <w:color w:val="auto"/>
          <w:sz w:val="24"/>
          <w:szCs w:val="24"/>
          <w:u w:val="none"/>
          <w:lang w:val="pt-BR"/>
        </w:rPr>
      </w:pPr>
      <w:r>
        <w:rPr>
          <w:rStyle w:val="Hyperlink"/>
          <w:rFonts w:ascii="Times New Roman" w:hAnsi="Times New Roman" w:cs="Times New Roman"/>
          <w:color w:val="auto"/>
          <w:sz w:val="24"/>
          <w:szCs w:val="24"/>
          <w:u w:val="none"/>
          <w:lang w:val="pt-BR"/>
        </w:rPr>
        <w:t>O outro limiar inferior, que marca o ponto em que apenas 2.5% dos desvios padrões estão abaixo da linha, se comporta de forma diferente, e mais parecida com o comportamento da mediana, embora espelhada. Se o resultado anterior denota a dificuldade da construção de portfólios pouco diversificados e de baixo risco, este aponta para a sua possibilidade. Uma gestora excepcional, ou excepcionalmente sortuda, poderia selecionar um portfólio nesta região, obtendo resultados superiores ao mercado mesmo sem uma carteira extensa. Ressaltamos que como as únicas restrições à formação de portfólios neste exercício foram o seu tamanho e a distribuição de pesos entre ativos (que deve ser constante), é possível que esses portfólios “excepcionais” apresentem retornos baixos.</w:t>
      </w:r>
    </w:p>
    <w:sectPr w:rsidR="000F170F" w:rsidRPr="000F170F">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93CC5" w14:textId="77777777" w:rsidR="007927A5" w:rsidRDefault="007927A5" w:rsidP="004903C1">
      <w:pPr>
        <w:spacing w:after="0" w:line="240" w:lineRule="auto"/>
      </w:pPr>
      <w:r>
        <w:separator/>
      </w:r>
    </w:p>
  </w:endnote>
  <w:endnote w:type="continuationSeparator" w:id="0">
    <w:p w14:paraId="3E2DE450" w14:textId="77777777" w:rsidR="007927A5" w:rsidRDefault="007927A5" w:rsidP="0049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B2A9D" w14:textId="77777777" w:rsidR="004903C1" w:rsidRPr="004903C1" w:rsidRDefault="004903C1">
    <w:pPr>
      <w:pStyle w:val="Footer"/>
      <w:jc w:val="center"/>
      <w:rPr>
        <w:rFonts w:ascii="Times New Roman" w:hAnsi="Times New Roman" w:cs="Times New Roman"/>
        <w:caps/>
        <w:noProof/>
        <w:color w:val="000000" w:themeColor="text1"/>
        <w:sz w:val="24"/>
        <w:szCs w:val="24"/>
      </w:rPr>
    </w:pPr>
    <w:r w:rsidRPr="004903C1">
      <w:rPr>
        <w:rFonts w:ascii="Times New Roman" w:hAnsi="Times New Roman" w:cs="Times New Roman"/>
        <w:caps/>
        <w:color w:val="000000" w:themeColor="text1"/>
        <w:sz w:val="24"/>
        <w:szCs w:val="24"/>
      </w:rPr>
      <w:fldChar w:fldCharType="begin"/>
    </w:r>
    <w:r w:rsidRPr="004903C1">
      <w:rPr>
        <w:rFonts w:ascii="Times New Roman" w:hAnsi="Times New Roman" w:cs="Times New Roman"/>
        <w:caps/>
        <w:color w:val="000000" w:themeColor="text1"/>
        <w:sz w:val="24"/>
        <w:szCs w:val="24"/>
      </w:rPr>
      <w:instrText xml:space="preserve"> PAGE   \* MERGEFORMAT </w:instrText>
    </w:r>
    <w:r w:rsidRPr="004903C1">
      <w:rPr>
        <w:rFonts w:ascii="Times New Roman" w:hAnsi="Times New Roman" w:cs="Times New Roman"/>
        <w:caps/>
        <w:color w:val="000000" w:themeColor="text1"/>
        <w:sz w:val="24"/>
        <w:szCs w:val="24"/>
      </w:rPr>
      <w:fldChar w:fldCharType="separate"/>
    </w:r>
    <w:r w:rsidRPr="004903C1">
      <w:rPr>
        <w:rFonts w:ascii="Times New Roman" w:hAnsi="Times New Roman" w:cs="Times New Roman"/>
        <w:caps/>
        <w:noProof/>
        <w:color w:val="000000" w:themeColor="text1"/>
        <w:sz w:val="24"/>
        <w:szCs w:val="24"/>
      </w:rPr>
      <w:t>2</w:t>
    </w:r>
    <w:r w:rsidRPr="004903C1">
      <w:rPr>
        <w:rFonts w:ascii="Times New Roman" w:hAnsi="Times New Roman" w:cs="Times New Roman"/>
        <w:caps/>
        <w:noProof/>
        <w:color w:val="000000" w:themeColor="text1"/>
        <w:sz w:val="24"/>
        <w:szCs w:val="24"/>
      </w:rPr>
      <w:fldChar w:fldCharType="end"/>
    </w:r>
  </w:p>
  <w:p w14:paraId="50BE27DC" w14:textId="77777777" w:rsidR="004903C1" w:rsidRDefault="00490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EAC26" w14:textId="77777777" w:rsidR="007927A5" w:rsidRDefault="007927A5" w:rsidP="004903C1">
      <w:pPr>
        <w:spacing w:after="0" w:line="240" w:lineRule="auto"/>
      </w:pPr>
      <w:r>
        <w:separator/>
      </w:r>
    </w:p>
  </w:footnote>
  <w:footnote w:type="continuationSeparator" w:id="0">
    <w:p w14:paraId="4E50C7C2" w14:textId="77777777" w:rsidR="007927A5" w:rsidRDefault="007927A5" w:rsidP="00490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43052"/>
    <w:multiLevelType w:val="hybridMultilevel"/>
    <w:tmpl w:val="2B84E960"/>
    <w:lvl w:ilvl="0" w:tplc="35C4E988">
      <w:start w:val="1"/>
      <w:numFmt w:val="bullet"/>
      <w:lvlText w:val=""/>
      <w:lvlJc w:val="left"/>
      <w:pPr>
        <w:tabs>
          <w:tab w:val="num" w:pos="720"/>
        </w:tabs>
        <w:ind w:left="720" w:hanging="360"/>
      </w:pPr>
      <w:rPr>
        <w:rFonts w:ascii="Wingdings 3" w:hAnsi="Wingdings 3" w:hint="default"/>
      </w:rPr>
    </w:lvl>
    <w:lvl w:ilvl="1" w:tplc="87E4DB4C">
      <w:start w:val="1"/>
      <w:numFmt w:val="bullet"/>
      <w:lvlText w:val=""/>
      <w:lvlJc w:val="left"/>
      <w:pPr>
        <w:tabs>
          <w:tab w:val="num" w:pos="1440"/>
        </w:tabs>
        <w:ind w:left="1440" w:hanging="360"/>
      </w:pPr>
      <w:rPr>
        <w:rFonts w:ascii="Wingdings 3" w:hAnsi="Wingdings 3" w:hint="default"/>
        <w:lang w:val="pt-BR"/>
      </w:rPr>
    </w:lvl>
    <w:lvl w:ilvl="2" w:tplc="F2EA8CDA" w:tentative="1">
      <w:start w:val="1"/>
      <w:numFmt w:val="bullet"/>
      <w:lvlText w:val=""/>
      <w:lvlJc w:val="left"/>
      <w:pPr>
        <w:tabs>
          <w:tab w:val="num" w:pos="2160"/>
        </w:tabs>
        <w:ind w:left="2160" w:hanging="360"/>
      </w:pPr>
      <w:rPr>
        <w:rFonts w:ascii="Wingdings 3" w:hAnsi="Wingdings 3" w:hint="default"/>
      </w:rPr>
    </w:lvl>
    <w:lvl w:ilvl="3" w:tplc="1F16027E" w:tentative="1">
      <w:start w:val="1"/>
      <w:numFmt w:val="bullet"/>
      <w:lvlText w:val=""/>
      <w:lvlJc w:val="left"/>
      <w:pPr>
        <w:tabs>
          <w:tab w:val="num" w:pos="2880"/>
        </w:tabs>
        <w:ind w:left="2880" w:hanging="360"/>
      </w:pPr>
      <w:rPr>
        <w:rFonts w:ascii="Wingdings 3" w:hAnsi="Wingdings 3" w:hint="default"/>
      </w:rPr>
    </w:lvl>
    <w:lvl w:ilvl="4" w:tplc="E114692A" w:tentative="1">
      <w:start w:val="1"/>
      <w:numFmt w:val="bullet"/>
      <w:lvlText w:val=""/>
      <w:lvlJc w:val="left"/>
      <w:pPr>
        <w:tabs>
          <w:tab w:val="num" w:pos="3600"/>
        </w:tabs>
        <w:ind w:left="3600" w:hanging="360"/>
      </w:pPr>
      <w:rPr>
        <w:rFonts w:ascii="Wingdings 3" w:hAnsi="Wingdings 3" w:hint="default"/>
      </w:rPr>
    </w:lvl>
    <w:lvl w:ilvl="5" w:tplc="FED8653C" w:tentative="1">
      <w:start w:val="1"/>
      <w:numFmt w:val="bullet"/>
      <w:lvlText w:val=""/>
      <w:lvlJc w:val="left"/>
      <w:pPr>
        <w:tabs>
          <w:tab w:val="num" w:pos="4320"/>
        </w:tabs>
        <w:ind w:left="4320" w:hanging="360"/>
      </w:pPr>
      <w:rPr>
        <w:rFonts w:ascii="Wingdings 3" w:hAnsi="Wingdings 3" w:hint="default"/>
      </w:rPr>
    </w:lvl>
    <w:lvl w:ilvl="6" w:tplc="4E0A4014" w:tentative="1">
      <w:start w:val="1"/>
      <w:numFmt w:val="bullet"/>
      <w:lvlText w:val=""/>
      <w:lvlJc w:val="left"/>
      <w:pPr>
        <w:tabs>
          <w:tab w:val="num" w:pos="5040"/>
        </w:tabs>
        <w:ind w:left="5040" w:hanging="360"/>
      </w:pPr>
      <w:rPr>
        <w:rFonts w:ascii="Wingdings 3" w:hAnsi="Wingdings 3" w:hint="default"/>
      </w:rPr>
    </w:lvl>
    <w:lvl w:ilvl="7" w:tplc="C1569EB0" w:tentative="1">
      <w:start w:val="1"/>
      <w:numFmt w:val="bullet"/>
      <w:lvlText w:val=""/>
      <w:lvlJc w:val="left"/>
      <w:pPr>
        <w:tabs>
          <w:tab w:val="num" w:pos="5760"/>
        </w:tabs>
        <w:ind w:left="5760" w:hanging="360"/>
      </w:pPr>
      <w:rPr>
        <w:rFonts w:ascii="Wingdings 3" w:hAnsi="Wingdings 3" w:hint="default"/>
      </w:rPr>
    </w:lvl>
    <w:lvl w:ilvl="8" w:tplc="6A48D7BE"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2E"/>
    <w:rsid w:val="00033B0F"/>
    <w:rsid w:val="000B1F76"/>
    <w:rsid w:val="000F170F"/>
    <w:rsid w:val="00187208"/>
    <w:rsid w:val="002A0B6D"/>
    <w:rsid w:val="002F4E44"/>
    <w:rsid w:val="002F67E3"/>
    <w:rsid w:val="003A7ED6"/>
    <w:rsid w:val="003B7CF0"/>
    <w:rsid w:val="00401159"/>
    <w:rsid w:val="004903C1"/>
    <w:rsid w:val="004A61E8"/>
    <w:rsid w:val="00615612"/>
    <w:rsid w:val="00681E2E"/>
    <w:rsid w:val="00734BB8"/>
    <w:rsid w:val="007927A5"/>
    <w:rsid w:val="0079502E"/>
    <w:rsid w:val="00796D5C"/>
    <w:rsid w:val="00856177"/>
    <w:rsid w:val="0087104F"/>
    <w:rsid w:val="008C77CF"/>
    <w:rsid w:val="00921413"/>
    <w:rsid w:val="00A52A81"/>
    <w:rsid w:val="00B11134"/>
    <w:rsid w:val="00B16F9A"/>
    <w:rsid w:val="00C42C34"/>
    <w:rsid w:val="00C94D13"/>
    <w:rsid w:val="00DD12EC"/>
    <w:rsid w:val="00DF33E9"/>
    <w:rsid w:val="00EB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8883"/>
  <w15:chartTrackingRefBased/>
  <w15:docId w15:val="{546AD2EB-1F12-4F57-A65A-ECA3F62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02E"/>
  </w:style>
  <w:style w:type="paragraph" w:styleId="Heading1">
    <w:name w:val="heading 1"/>
    <w:basedOn w:val="Normal"/>
    <w:next w:val="Normal"/>
    <w:link w:val="Heading1Char"/>
    <w:uiPriority w:val="9"/>
    <w:qFormat/>
    <w:rsid w:val="00795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0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33E9"/>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612"/>
    <w:rPr>
      <w:color w:val="0000FF"/>
      <w:u w:val="single"/>
    </w:rPr>
  </w:style>
  <w:style w:type="paragraph" w:styleId="Header">
    <w:name w:val="header"/>
    <w:basedOn w:val="Normal"/>
    <w:link w:val="HeaderChar"/>
    <w:uiPriority w:val="99"/>
    <w:unhideWhenUsed/>
    <w:rsid w:val="004903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903C1"/>
  </w:style>
  <w:style w:type="paragraph" w:styleId="Footer">
    <w:name w:val="footer"/>
    <w:basedOn w:val="Normal"/>
    <w:link w:val="FooterChar"/>
    <w:uiPriority w:val="99"/>
    <w:unhideWhenUsed/>
    <w:rsid w:val="004903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90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680152">
      <w:bodyDiv w:val="1"/>
      <w:marLeft w:val="0"/>
      <w:marRight w:val="0"/>
      <w:marTop w:val="0"/>
      <w:marBottom w:val="0"/>
      <w:divBdr>
        <w:top w:val="none" w:sz="0" w:space="0" w:color="auto"/>
        <w:left w:val="none" w:sz="0" w:space="0" w:color="auto"/>
        <w:bottom w:val="none" w:sz="0" w:space="0" w:color="auto"/>
        <w:right w:val="none" w:sz="0" w:space="0" w:color="auto"/>
      </w:divBdr>
      <w:divsChild>
        <w:div w:id="210734049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ZeVZobaran/ibovPortfoliosSd"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eVZobaran/ibovPortfoliosS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ZeVZobaran/ibovPortfoliosS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Vidal Zobaran</dc:creator>
  <cp:keywords/>
  <dc:description/>
  <cp:lastModifiedBy>José Vidal Zobaran</cp:lastModifiedBy>
  <cp:revision>4</cp:revision>
  <dcterms:created xsi:type="dcterms:W3CDTF">2020-07-05T19:33:00Z</dcterms:created>
  <dcterms:modified xsi:type="dcterms:W3CDTF">2020-07-05T20:19:00Z</dcterms:modified>
</cp:coreProperties>
</file>