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21" w:rsidRPr="00BD73D0" w:rsidRDefault="00E20621" w:rsidP="00BD73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Qual é a sua pergunta de pesquisa e porque ela é importante¿</w:t>
      </w:r>
    </w:p>
    <w:p w:rsidR="00E20621" w:rsidRPr="00BD73D0" w:rsidRDefault="00E20621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A pergunta é “No Brasil, quantas ações um 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portfólio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precisa ter para esgotar os ganhos de diversificação¿ Em outras palavras, como a curva de convergência para o desvio padrão de mercado, dado que o portfolio tenha o retorno do mercado, sendo o eixo X a quantidade de ações nele¿”</w:t>
      </w:r>
    </w:p>
    <w:p w:rsidR="00E20621" w:rsidRPr="00BD73D0" w:rsidRDefault="00E20621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O referencial para desvio padrão e retorno do mercado de ações brasileiro pode ser entendido como o índice IBOV, que reúne cerca de 80% do total de capitalização do B3.</w:t>
      </w:r>
    </w:p>
    <w:p w:rsidR="00E20621" w:rsidRPr="00BD73D0" w:rsidRDefault="00E20621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A pergunta é importante para que se entenda até que ponto a literatura de ganhos de diversificação, já bem desenvolvida, pode ser “abrasileirada”. Sua resposta trará informações úteis para a formulação de portfolios melhor protegidos de riscos idiossincráticos de ações que, ao mesmo tempo, não se sujeitem a custos de implementação altos.</w:t>
      </w:r>
    </w:p>
    <w:p w:rsidR="00E20621" w:rsidRPr="00BD73D0" w:rsidRDefault="00E20621" w:rsidP="00BD73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E20621" w:rsidRPr="00BD73D0" w:rsidRDefault="00E44012" w:rsidP="00BD73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Qual é a indústria que você quer estudar¿ Como ela funciona¿</w:t>
      </w:r>
    </w:p>
    <w:p w:rsidR="00BD73D0" w:rsidRDefault="00E44012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A indústria financeira, em particular o mercado de ações na B3. Nele, empresas podem vender participações em si mesmas, dando aos compradores direitos dividendos futuros e, na maior parte dos casos, direito a voto quanto à sua gestão.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>ssas ações são depois comercializadas em mercados secundários entre investidores, permitindo que intermediários obtenham ganhos pela variação no preço delas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, os quais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pode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ser entendido como composto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por duas partes: um retorno “sistêmico”, do mercado como um todo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>, multiplicado por um fator de sensibilidade da empresa ao mercado, o beta</w:t>
      </w:r>
      <w:r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, e um “idiossincrático”, 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específico àquela empresa. 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desvio padrão do retorno de uma dada ação no tempo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também obedece a essa estrutura, o que é relevante pois ele oferece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informaç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ões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quanto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a quanto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do valor investido pode-se perder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, e com qual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probabilidade, 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fazendo dele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uma medida de risco comum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apesar de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 sua não simetria, sua inconstância no tempo e a dificuldade de estimá-lo para o futuro. O risco idiossincrático é também chamado de “diversificável”, pois em teoria é possível eliminá-lo adicionando-se ações a um </w:t>
      </w:r>
      <w:r w:rsidR="00BD73D0" w:rsidRPr="00BD73D0">
        <w:rPr>
          <w:rFonts w:ascii="Times New Roman" w:hAnsi="Times New Roman" w:cs="Times New Roman"/>
          <w:sz w:val="24"/>
          <w:szCs w:val="24"/>
          <w:lang w:val="pt-BR"/>
        </w:rPr>
        <w:t>portfólio</w:t>
      </w:r>
      <w:r w:rsidR="001F6BDA" w:rsidRPr="00BD73D0">
        <w:rPr>
          <w:rFonts w:ascii="Times New Roman" w:hAnsi="Times New Roman" w:cs="Times New Roman"/>
          <w:sz w:val="24"/>
          <w:szCs w:val="24"/>
          <w:lang w:val="pt-BR"/>
        </w:rPr>
        <w:t xml:space="preserve">. Na prática, é evidente que isso ocorre caso o portfolio seja exatamente igual à totalidade do mercado em questão – ao que se denomina “portfolio de mercado”. </w:t>
      </w:r>
    </w:p>
    <w:p w:rsidR="00BD73D0" w:rsidRDefault="00BD73D0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A compra e venda de ações é efetuada por meio de corretoras atuando em uma bolsa de valores, que mantém e administra os sistemas de negociação e mantém os registros referentes ao mercado. Negociações feitas por terceiros estão sujeitas a custos cobrados tanto pelas corretoras quanto pela bolsa.</w:t>
      </w:r>
    </w:p>
    <w:p w:rsidR="003666B7" w:rsidRDefault="003666B7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D73D0" w:rsidRDefault="00BD73D0" w:rsidP="00BD73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73D0">
        <w:rPr>
          <w:rFonts w:ascii="Times New Roman" w:hAnsi="Times New Roman" w:cs="Times New Roman"/>
          <w:sz w:val="24"/>
          <w:szCs w:val="24"/>
          <w:lang w:val="pt-BR"/>
        </w:rPr>
        <w:t>Quais dados estão disponíveis sobre esta indústria?</w:t>
      </w:r>
    </w:p>
    <w:p w:rsidR="00BD73D0" w:rsidRDefault="00BD73D0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Dados do retorno, volume e capitalização de empresas com capital aberto na B3 </w:t>
      </w:r>
      <w:r w:rsidR="000A60A2">
        <w:rPr>
          <w:rFonts w:ascii="Times New Roman" w:hAnsi="Times New Roman" w:cs="Times New Roman"/>
          <w:sz w:val="24"/>
          <w:szCs w:val="24"/>
          <w:lang w:val="pt-BR"/>
        </w:rPr>
        <w:t xml:space="preserve">e do índice IBOV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estão </w:t>
      </w:r>
      <w:r w:rsidR="000A60A2">
        <w:rPr>
          <w:rFonts w:ascii="Times New Roman" w:hAnsi="Times New Roman" w:cs="Times New Roman"/>
          <w:sz w:val="24"/>
          <w:szCs w:val="24"/>
          <w:lang w:val="pt-BR"/>
        </w:rPr>
        <w:t xml:space="preserve">disponíveis em diversas plataformas, como o </w:t>
      </w:r>
      <w:proofErr w:type="spellStart"/>
      <w:r w:rsidR="000A60A2">
        <w:rPr>
          <w:rFonts w:ascii="Times New Roman" w:hAnsi="Times New Roman" w:cs="Times New Roman"/>
          <w:sz w:val="24"/>
          <w:szCs w:val="24"/>
          <w:lang w:val="pt-BR"/>
        </w:rPr>
        <w:t>Economática</w:t>
      </w:r>
      <w:proofErr w:type="spellEnd"/>
      <w:r w:rsidR="000A60A2">
        <w:rPr>
          <w:rFonts w:ascii="Times New Roman" w:hAnsi="Times New Roman" w:cs="Times New Roman"/>
          <w:sz w:val="24"/>
          <w:szCs w:val="24"/>
          <w:lang w:val="pt-BR"/>
        </w:rPr>
        <w:t xml:space="preserve"> e o Yahoo </w:t>
      </w:r>
      <w:proofErr w:type="spellStart"/>
      <w:r w:rsidR="000A60A2">
        <w:rPr>
          <w:rFonts w:ascii="Times New Roman" w:hAnsi="Times New Roman" w:cs="Times New Roman"/>
          <w:sz w:val="24"/>
          <w:szCs w:val="24"/>
          <w:lang w:val="pt-BR"/>
        </w:rPr>
        <w:t>Finance</w:t>
      </w:r>
      <w:proofErr w:type="spellEnd"/>
      <w:r w:rsidR="000A60A2">
        <w:rPr>
          <w:rFonts w:ascii="Times New Roman" w:hAnsi="Times New Roman" w:cs="Times New Roman"/>
          <w:sz w:val="24"/>
          <w:szCs w:val="24"/>
          <w:lang w:val="pt-BR"/>
        </w:rPr>
        <w:t>, assim como dados para a taxa de retorno livre de risco.</w:t>
      </w:r>
    </w:p>
    <w:p w:rsidR="000A60A2" w:rsidRDefault="000A60A2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Dados de custos de implementação são mais difusos, mas uma boa aproximação pode ser feita com base na tabela Bovespa, e com pesquisas em corretoras específicas. Como as taxas de custódia e corretagem variam segundo o tamanho do investidor, elas não são necessariamente generalizáveis.</w:t>
      </w:r>
    </w:p>
    <w:p w:rsidR="003666B7" w:rsidRDefault="003666B7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0A60A2" w:rsidRPr="000A60A2" w:rsidRDefault="000A60A2" w:rsidP="000A60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A60A2">
        <w:rPr>
          <w:rFonts w:ascii="Times New Roman" w:hAnsi="Times New Roman" w:cs="Times New Roman"/>
          <w:sz w:val="24"/>
          <w:szCs w:val="24"/>
          <w:lang w:val="pt-BR"/>
        </w:rPr>
        <w:t xml:space="preserve">Como você planeja estruturar a resposta </w:t>
      </w:r>
      <w:r>
        <w:rPr>
          <w:rFonts w:ascii="Times New Roman" w:hAnsi="Times New Roman" w:cs="Times New Roman"/>
          <w:sz w:val="24"/>
          <w:szCs w:val="24"/>
          <w:lang w:val="pt-BR"/>
        </w:rPr>
        <w:t>à</w:t>
      </w:r>
      <w:r w:rsidRPr="000A60A2">
        <w:rPr>
          <w:rFonts w:ascii="Times New Roman" w:hAnsi="Times New Roman" w:cs="Times New Roman"/>
          <w:sz w:val="24"/>
          <w:szCs w:val="24"/>
          <w:lang w:val="pt-BR"/>
        </w:rPr>
        <w:t xml:space="preserve"> sua pergunta de pesquisa?</w:t>
      </w:r>
    </w:p>
    <w:p w:rsidR="000A60A2" w:rsidRDefault="000A60A2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vez adquiridos os dados, calcular o retorno e desvio padrão do IBOV. A estrutura da </w:t>
      </w:r>
      <w:r w:rsidR="005543D7">
        <w:rPr>
          <w:rFonts w:ascii="Times New Roman" w:hAnsi="Times New Roman" w:cs="Times New Roman"/>
          <w:sz w:val="24"/>
          <w:szCs w:val="24"/>
          <w:lang w:val="pt-BR"/>
        </w:rPr>
        <w:t>curva é como segue (números fantasia):</w:t>
      </w:r>
    </w:p>
    <w:p w:rsidR="005543D7" w:rsidRDefault="005543D7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543D7">
        <w:rPr>
          <w:noProof/>
          <w:lang w:val="pt-BR" w:eastAsia="pt-BR"/>
        </w:rPr>
        <w:drawing>
          <wp:inline distT="0" distB="0" distL="0" distR="0">
            <wp:extent cx="5612130" cy="255460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D7" w:rsidRDefault="005543D7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problema para o cálculo dela é que para cada ponto no eixo X, idealmente estimaríamos todos os portfolios possíveis com aquela quantidade de ações que minimizassem a variância, sujeitos a atingir o retorno do IBOV.  Nisso, batemos em um problema computacional, pois a quantidade de </w:t>
      </w:r>
      <w:r w:rsidR="00B92CA8">
        <w:rPr>
          <w:rFonts w:ascii="Times New Roman" w:hAnsi="Times New Roman" w:cs="Times New Roman"/>
          <w:sz w:val="24"/>
          <w:szCs w:val="24"/>
          <w:lang w:val="pt-BR"/>
        </w:rPr>
        <w:t>composições acionárias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possíveis supondo que o IBOV contenha 60 ações é de mais de 5 quintilhões.</w:t>
      </w:r>
      <w:r w:rsidR="00B92CA8">
        <w:rPr>
          <w:rFonts w:ascii="Times New Roman" w:hAnsi="Times New Roman" w:cs="Times New Roman"/>
          <w:sz w:val="24"/>
          <w:szCs w:val="24"/>
          <w:lang w:val="pt-BR"/>
        </w:rPr>
        <w:t xml:space="preserve"> Para cada uma dessas composições, teríamos que calcular o portfólio de mínima variância que atingisse o retorno do IBOV.</w:t>
      </w:r>
    </w:p>
    <w:p w:rsidR="000A60A2" w:rsidRDefault="00B92CA8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Superado esse problema computacional, definir a curva exemplificada acima e determinar em que ponto os ganhos de diversificação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 redução no desvio padrão do portfólio) são superados pelos custos de implementação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as taxas de corretagem cobradas).</w:t>
      </w:r>
    </w:p>
    <w:p w:rsidR="00B92CA8" w:rsidRDefault="00B92CA8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Caso a solução permita, seria interessante definir essa curva para portfolios regidos pelas seguintes restrições: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”, isso é, com pesos definidos segundo os pesos relativos das empresas que o compões; “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equally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”, com pesos idênticos entre todas; e otimizados, ou seja, com pesos tais quais a variância seja a mínima possível para aquele retorno.</w:t>
      </w:r>
    </w:p>
    <w:p w:rsidR="00B92CA8" w:rsidRDefault="00B92CA8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simulação dos portfolios será feita em R, com base nos pacotes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tidyverse</w:t>
      </w:r>
      <w:proofErr w:type="spellEnd"/>
      <w:r w:rsidR="003666B7">
        <w:rPr>
          <w:rFonts w:ascii="Times New Roman" w:hAnsi="Times New Roman" w:cs="Times New Roman"/>
          <w:sz w:val="24"/>
          <w:szCs w:val="24"/>
          <w:lang w:val="pt-BR"/>
        </w:rPr>
        <w:t xml:space="preserve"> e no </w:t>
      </w:r>
      <w:proofErr w:type="spellStart"/>
      <w:r w:rsidR="003666B7">
        <w:rPr>
          <w:rFonts w:ascii="Times New Roman" w:hAnsi="Times New Roman" w:cs="Times New Roman"/>
          <w:sz w:val="24"/>
          <w:szCs w:val="24"/>
          <w:lang w:val="pt-BR"/>
        </w:rPr>
        <w:t>xlsx</w:t>
      </w:r>
      <w:proofErr w:type="spellEnd"/>
      <w:r w:rsidR="003666B7">
        <w:rPr>
          <w:rFonts w:ascii="Times New Roman" w:hAnsi="Times New Roman" w:cs="Times New Roman"/>
          <w:sz w:val="24"/>
          <w:szCs w:val="24"/>
          <w:lang w:val="pt-BR"/>
        </w:rPr>
        <w:t xml:space="preserve"> (para manipulação de dados e gráficos)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tidyquant</w:t>
      </w:r>
      <w:proofErr w:type="spellEnd"/>
      <w:r w:rsidR="003666B7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3666B7" w:rsidRPr="003666B7">
        <w:rPr>
          <w:rFonts w:ascii="Times New Roman" w:hAnsi="Times New Roman" w:cs="Times New Roman"/>
          <w:sz w:val="24"/>
          <w:szCs w:val="24"/>
          <w:lang w:val="pt-BR"/>
        </w:rPr>
        <w:t>PortfolioAnalytic</w:t>
      </w:r>
      <w:proofErr w:type="spellEnd"/>
      <w:r w:rsidR="003666B7">
        <w:rPr>
          <w:rFonts w:ascii="Times New Roman" w:hAnsi="Times New Roman" w:cs="Times New Roman"/>
          <w:sz w:val="24"/>
          <w:szCs w:val="24"/>
          <w:lang w:val="pt-BR"/>
        </w:rPr>
        <w:t xml:space="preserve"> (para a simulação dos portfolios), e quaisquer outros que sejam necessários.</w:t>
      </w:r>
    </w:p>
    <w:p w:rsidR="003666B7" w:rsidRDefault="003666B7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92CA8" w:rsidRDefault="00B92CA8" w:rsidP="00B92C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92CA8">
        <w:rPr>
          <w:rFonts w:ascii="Times New Roman" w:hAnsi="Times New Roman" w:cs="Times New Roman"/>
          <w:sz w:val="24"/>
          <w:szCs w:val="24"/>
          <w:lang w:val="pt-BR"/>
        </w:rPr>
        <w:t>Como os dados vão entrar nesta resposta?</w:t>
      </w:r>
    </w:p>
    <w:p w:rsidR="003666B7" w:rsidRDefault="00B92CA8" w:rsidP="00B92CA8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retorno e desvio padrão </w:t>
      </w:r>
      <w:r w:rsidR="003666B7">
        <w:rPr>
          <w:rFonts w:ascii="Times New Roman" w:hAnsi="Times New Roman" w:cs="Times New Roman"/>
          <w:sz w:val="24"/>
          <w:szCs w:val="24"/>
          <w:lang w:val="pt-BR"/>
        </w:rPr>
        <w:t>de uma 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definidos pel</w:t>
      </w:r>
      <w:r w:rsidR="003666B7">
        <w:rPr>
          <w:rFonts w:ascii="Times New Roman" w:hAnsi="Times New Roman" w:cs="Times New Roman"/>
          <w:sz w:val="24"/>
          <w:szCs w:val="24"/>
          <w:lang w:val="pt-BR"/>
        </w:rPr>
        <w:t>a sua série de preço; os do portfólio, pelos de cada ação.</w:t>
      </w:r>
    </w:p>
    <w:p w:rsidR="003666B7" w:rsidRDefault="003666B7" w:rsidP="00B92CA8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3666B7" w:rsidRPr="003666B7" w:rsidRDefault="003666B7" w:rsidP="003666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Cronograma de atividades:</w:t>
      </w:r>
    </w:p>
    <w:p w:rsidR="003666B7" w:rsidRDefault="003666B7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Fevereiro/</w:t>
      </w:r>
      <w:r w:rsidR="000947BA">
        <w:rPr>
          <w:rFonts w:ascii="Times New Roman" w:hAnsi="Times New Roman" w:cs="Times New Roman"/>
          <w:sz w:val="24"/>
          <w:szCs w:val="24"/>
          <w:lang w:val="pt-BR"/>
        </w:rPr>
        <w:t>março</w:t>
      </w:r>
      <w:r>
        <w:rPr>
          <w:rFonts w:ascii="Times New Roman" w:hAnsi="Times New Roman" w:cs="Times New Roman"/>
          <w:sz w:val="24"/>
          <w:szCs w:val="24"/>
          <w:lang w:val="pt-BR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Abril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Solucionar o problema computacional</w:t>
      </w:r>
    </w:p>
    <w:p w:rsidR="003666B7" w:rsidRDefault="003666B7" w:rsidP="003666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Por meio do cálculo de amostras de portfólio para cada quantidade de ações, caso o desvio padrão tenha uma distribuição estatística consistente para cada “universo” de portfolios possível (linhas verticais do gráfico).</w:t>
      </w:r>
    </w:p>
    <w:p w:rsidR="003666B7" w:rsidRDefault="003666B7" w:rsidP="00C00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Com uma solução analítica para o problema</w:t>
      </w:r>
      <w:bookmarkStart w:id="0" w:name="_GoBack"/>
      <w:bookmarkEnd w:id="0"/>
    </w:p>
    <w:p w:rsidR="003666B7" w:rsidRDefault="003666B7" w:rsidP="003666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algoritmos de otimização melhores.</w:t>
      </w:r>
    </w:p>
    <w:p w:rsidR="003666B7" w:rsidRDefault="003666B7" w:rsidP="003666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o uso do AWS, Azure ou similar.</w:t>
      </w:r>
    </w:p>
    <w:p w:rsidR="003666B7" w:rsidRDefault="003666B7" w:rsidP="003666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Outras formas.</w:t>
      </w:r>
    </w:p>
    <w:p w:rsidR="003666B7" w:rsidRDefault="003666B7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Março/</w:t>
      </w:r>
      <w:r w:rsidR="000947BA">
        <w:rPr>
          <w:rFonts w:ascii="Times New Roman" w:hAnsi="Times New Roman" w:cs="Times New Roman"/>
          <w:sz w:val="24"/>
          <w:szCs w:val="24"/>
          <w:lang w:val="pt-BR"/>
        </w:rPr>
        <w:t>abril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Estimar a(s) curva(s) de convergência detalhada(s)</w:t>
      </w:r>
      <w:r w:rsidR="000947BA">
        <w:rPr>
          <w:rFonts w:ascii="Times New Roman" w:hAnsi="Times New Roman" w:cs="Times New Roman"/>
          <w:sz w:val="24"/>
          <w:szCs w:val="24"/>
          <w:lang w:val="pt-BR"/>
        </w:rPr>
        <w:t>; para isso, me familiarizar com a programação necessária.</w:t>
      </w:r>
    </w:p>
    <w:p w:rsidR="003666B7" w:rsidRDefault="003666B7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Abril</w:t>
      </w:r>
      <w:r w:rsidR="000947BA">
        <w:rPr>
          <w:rFonts w:ascii="Times New Roman" w:hAnsi="Times New Roman" w:cs="Times New Roman"/>
          <w:sz w:val="24"/>
          <w:szCs w:val="24"/>
          <w:lang w:val="pt-BR"/>
        </w:rPr>
        <w:t>/maio – Compilar os dados de custos de implementação e, juntando-os com a etapa anterior, definir o ponto em que os custos de implementação de diversificação são superiores aos ganhos pela redução no desvio padrão.</w:t>
      </w:r>
    </w:p>
    <w:p w:rsidR="000947BA" w:rsidRDefault="000947BA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Junho/-- – Escrever o trabalho, relatar o que foi encontrado e relacionar ele à literatura existente.</w:t>
      </w:r>
    </w:p>
    <w:p w:rsidR="000947BA" w:rsidRDefault="000947BA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cronograma termina em junho pois a solução do problema computacional pode se alongar, e é o principal fator sensível a tempo no projeto. Dependendo de quando ele for solucionado, o trabalho pode se estender a outros temas.</w:t>
      </w:r>
    </w:p>
    <w:p w:rsidR="00C00A84" w:rsidRDefault="00C00A84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C00A84" w:rsidRPr="003666B7" w:rsidRDefault="00C00A84" w:rsidP="003666B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Nota: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 serem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optidos</w:t>
      </w:r>
      <w:proofErr w:type="spellEnd"/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>Solução analítica: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https://www.sciencedirect.com/scienc</w:t>
      </w:r>
      <w:r w:rsidRPr="00C00A84">
        <w:rPr>
          <w:rFonts w:ascii="Times New Roman" w:hAnsi="Times New Roman" w:cs="Times New Roman"/>
          <w:sz w:val="18"/>
          <w:szCs w:val="24"/>
          <w:lang w:val="pt-BR"/>
        </w:rPr>
        <w:t>e/article/pii/S0305048303001336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>Otimização: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https://www.sciencedirect.com/science/article/abs/pii/S1568494613002858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https://www.sciencedirect.com/science/article/pii/S1568494614003913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https://www.sciencedirect.com/science/article/pii/S0957417411002818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https://www.sciencedirect.com/science/article/abs/pii/S1568494613002858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https://pdfs.semanticscholar.org/e017/1a544d32782a4c3882cb3ff34dd057a7ff49.pdf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https://link.springer.com/ar</w:t>
      </w:r>
      <w:r w:rsidRPr="00C00A84">
        <w:rPr>
          <w:rFonts w:ascii="Times New Roman" w:hAnsi="Times New Roman" w:cs="Times New Roman"/>
          <w:sz w:val="18"/>
          <w:szCs w:val="24"/>
          <w:lang w:val="pt-BR"/>
        </w:rPr>
        <w:t>ticle/10.1007/s10898-009-9465-4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>Diversificação: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https://papers.ssrn.com/sol3/papers.cfm?abstract_id=85428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https://onlinelibrary.wiley.com/doi/full/10.1111/j.1540-6288.2007.00183.x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  <w:r w:rsidRPr="00C00A84">
        <w:rPr>
          <w:rFonts w:ascii="Times New Roman" w:hAnsi="Times New Roman" w:cs="Times New Roman"/>
          <w:sz w:val="18"/>
          <w:szCs w:val="24"/>
          <w:lang w:val="pt-BR"/>
        </w:rPr>
        <w:tab/>
        <w:t>https://www.tandfonline.com/doi/abs/10.1080/10293523.1997.11082380</w:t>
      </w:r>
    </w:p>
    <w:p w:rsidR="00C00A84" w:rsidRPr="00C00A84" w:rsidRDefault="00C00A84" w:rsidP="00C00A84">
      <w:pPr>
        <w:spacing w:line="240" w:lineRule="auto"/>
        <w:rPr>
          <w:rFonts w:ascii="Times New Roman" w:hAnsi="Times New Roman" w:cs="Times New Roman"/>
          <w:sz w:val="18"/>
          <w:szCs w:val="24"/>
          <w:lang w:val="pt-BR"/>
        </w:rPr>
      </w:pPr>
    </w:p>
    <w:p w:rsidR="00C00A84" w:rsidRPr="00C00A84" w:rsidRDefault="00C00A84" w:rsidP="00C00A84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3666B7" w:rsidRPr="00B92CA8" w:rsidRDefault="003666B7" w:rsidP="00B92CA8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0A60A2" w:rsidRPr="00BD73D0" w:rsidRDefault="000A60A2" w:rsidP="00BD73D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0A60A2" w:rsidRPr="00BD73D0" w:rsidSect="00DB0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053"/>
    <w:multiLevelType w:val="hybridMultilevel"/>
    <w:tmpl w:val="F25A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6950"/>
    <w:multiLevelType w:val="hybridMultilevel"/>
    <w:tmpl w:val="4F527EA0"/>
    <w:lvl w:ilvl="0" w:tplc="5F7A2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07651"/>
    <w:multiLevelType w:val="hybridMultilevel"/>
    <w:tmpl w:val="A2EA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21"/>
    <w:rsid w:val="000947BA"/>
    <w:rsid w:val="000A60A2"/>
    <w:rsid w:val="001B773D"/>
    <w:rsid w:val="001F6BDA"/>
    <w:rsid w:val="003666B7"/>
    <w:rsid w:val="005543D7"/>
    <w:rsid w:val="00B92CA8"/>
    <w:rsid w:val="00BD73D0"/>
    <w:rsid w:val="00C00A84"/>
    <w:rsid w:val="00DB03CF"/>
    <w:rsid w:val="00E20621"/>
    <w:rsid w:val="00E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EC6F8"/>
  <w15:chartTrackingRefBased/>
  <w15:docId w15:val="{C5B932A1-ADE0-4256-AD23-07FD8DA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1039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Vidal Zobaran</dc:creator>
  <cp:keywords/>
  <dc:description/>
  <cp:lastModifiedBy>José Zobaran</cp:lastModifiedBy>
  <cp:revision>3</cp:revision>
  <dcterms:created xsi:type="dcterms:W3CDTF">2020-02-12T13:32:00Z</dcterms:created>
  <dcterms:modified xsi:type="dcterms:W3CDTF">2020-02-12T13:32:00Z</dcterms:modified>
</cp:coreProperties>
</file>