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120" w:before="720"/>
        <w:jc w:val="center"/>
      </w:pPr>
      <w:r>
        <w:rPr>
          <w:b/>
          <w:bCs/>
          <w:sz w:val="32"/>
          <w:szCs w:val="32"/>
        </w:rPr>
        <w:t xml:space="preserve">OPERATING AGREEMENT</w:t>
      </w:r>
    </w:p>
    <w:p>
      <w:pPr>
        <w:keepNext/>
        <w:spacing w:after="80"/>
        <w:jc w:val="center"/>
      </w:pPr>
      <w:r>
        <w:rPr>
          <w:b/>
          <w:bCs/>
          <w:sz w:val="26"/>
          <w:szCs w:val="26"/>
        </w:rPr>
        <w:t xml:space="preserve">OF</w:t>
      </w:r>
    </w:p>
    <w:p>
      <w:pPr>
        <w:keepNext/>
        <w:spacing w:after="80"/>
        <w:jc w:val="center"/>
      </w:pPr>
      <w:r>
        <w:rPr>
          <w:b/>
          <w:bCs/>
          <w:sz w:val="30"/>
          <w:szCs w:val="30"/>
        </w:rPr>
        <w:t xml:space="preserve">VIVARA PROVISIONS LLC</w:t>
      </w:r>
    </w:p>
    <w:p>
      <w:pPr>
        <w:spacing w:after="600"/>
        <w:jc w:val="center"/>
      </w:pPr>
      <w:r>
        <w:rPr>
          <w:i/>
          <w:iCs/>
        </w:rPr>
        <w:t xml:space="preserve">A Florida Limited Liability Company</w:t>
      </w:r>
    </w:p>
    <w:p>
      <w:pPr>
        <w:keepNext w:val="false"/>
        <w:keepLines/>
        <w:spacing w:after="140" w:before="0" w:line="264"/>
        <w:jc w:val="both"/>
      </w:pPr>
      <w:r>
        <w:t xml:space="preserve">This Operating Agreement (this </w:t>
      </w:r>
      <w:r>
        <w:rPr>
          <w:b/>
          <w:bCs/>
        </w:rPr>
        <w:t xml:space="preserve">“Agreement”</w:t>
      </w:r>
      <w:r>
        <w:t xml:space="preserve">) of Vivara Provisions LLC, a Florida limited liability company (the </w:t>
      </w:r>
      <w:r>
        <w:rPr>
          <w:b/>
          <w:bCs/>
        </w:rPr>
        <w:t xml:space="preserve">“Company”</w:t>
      </w:r>
      <w:r>
        <w:t xml:space="preserve">), is adopted and made effective as of </w:t>
      </w:r>
      <w:r>
        <w:rPr>
          <w:highlight w:val="yellow"/>
        </w:rPr>
        <w:t xml:space="preserve">[EFFECTIVE DATE]</w:t>
      </w:r>
      <w:r>
        <w:t xml:space="preserve"> (the </w:t>
      </w:r>
      <w:r>
        <w:rPr>
          <w:b/>
          <w:bCs/>
        </w:rPr>
        <w:t xml:space="preserve">“Effective Date”</w:t>
      </w:r>
      <w:r>
        <w:t xml:space="preserve">) by </w:t>
      </w:r>
      <w:r>
        <w:rPr>
          <w:highlight w:val="yellow"/>
        </w:rPr>
        <w:t xml:space="preserve">[MEMBER FULL LEGAL NAME]</w:t>
      </w:r>
      <w:r>
        <w:t xml:space="preserve">, as the sole member of the Company (the </w:t>
      </w:r>
      <w:r>
        <w:rPr>
          <w:b/>
          <w:bCs/>
        </w:rPr>
        <w:t xml:space="preserve">“Member”</w:t>
      </w:r>
      <w:r>
        <w:t xml:space="preserve">).</w:t>
      </w:r>
    </w:p>
    <w:p>
      <w:pPr>
        <w:keepNext/>
        <w:spacing w:after="200" w:before="200"/>
        <w:jc w:val="center"/>
      </w:pPr>
      <w:r>
        <w:rPr>
          <w:b/>
          <w:bCs/>
        </w:rPr>
        <w:t xml:space="preserve">RECITALS</w:t>
      </w:r>
    </w:p>
    <w:p>
      <w:pPr>
        <w:keepNext/>
        <w:keepLines/>
        <w:spacing w:after="140" w:before="0" w:line="264"/>
        <w:ind w:left="720" w:hanging="720"/>
        <w:jc w:val="both"/>
      </w:pPr>
      <w:r>
        <w:t xml:space="preserve">A.</w:t>
        <w:tab/>
      </w:r>
      <w:r>
        <w:t xml:space="preserve">The Company was organized as a Florida limited liability company under the Florida Revised Limited Liability Company Act.</w:t>
      </w:r>
    </w:p>
    <w:p>
      <w:pPr>
        <w:keepNext/>
        <w:keepLines/>
        <w:spacing w:after="140" w:before="0" w:line="264"/>
        <w:ind w:left="720" w:hanging="720"/>
        <w:jc w:val="both"/>
      </w:pPr>
      <w:r>
        <w:t xml:space="preserve">B.</w:t>
        <w:tab/>
      </w:r>
      <w:r>
        <w:t xml:space="preserve">The Company purchases, owns, and sells food and other lawfully authorized goods as merchant of record, and exports such goods to foreign markets, including Cuba, as authorized under the laws of the United States.</w:t>
      </w:r>
    </w:p>
    <w:p>
      <w:pPr>
        <w:keepNext/>
        <w:keepLines/>
        <w:spacing w:after="140" w:before="0" w:line="264"/>
        <w:ind w:left="720" w:hanging="720"/>
        <w:jc w:val="both"/>
      </w:pPr>
      <w:r>
        <w:t xml:space="preserve">C.</w:t>
        <w:tab/>
      </w:r>
      <w:r>
        <w:t xml:space="preserve">The Member intends that the Company conduct all of its business in compliance with the sanctions and export control laws of the United States, and adopts this Agreement to govern the affairs of the Company and the conduct of its business.</w:t>
      </w:r>
    </w:p>
    <w:p>
      <w:pPr>
        <w:keepNext w:val="false"/>
        <w:keepLines/>
        <w:spacing w:after="140" w:before="120" w:line="264"/>
        <w:jc w:val="both"/>
      </w:pPr>
      <w:r>
        <w:t xml:space="preserve">NOW, THEREFORE, the Member hereby adopts this Agreement as the operating agreement of the Company, as follows:</w:t>
      </w:r>
    </w:p>
    <w:p>
      <w:pPr>
        <w:pStyle w:val="Heading1"/>
        <w:keepNext/>
        <w:keepLines/>
        <w:pageBreakBefore/>
        <w:spacing w:after="280"/>
        <w:jc w:val="center"/>
      </w:pPr>
      <w:r>
        <w:t xml:space="preserve">ARTICLE I — FORMATION</w:t>
      </w:r>
    </w:p>
    <w:p>
      <w:pPr>
        <w:keepNext w:val="false"/>
        <w:keepLines/>
        <w:spacing w:after="140" w:before="0" w:line="264"/>
        <w:jc w:val="both"/>
      </w:pPr>
      <w:r>
        <w:rPr>
          <w:b/>
          <w:bCs/>
        </w:rPr>
        <w:t xml:space="preserve">1.1 Formation.</w:t>
      </w:r>
      <w:r>
        <w:t xml:space="preserve"> </w:t>
      </w:r>
      <w:r>
        <w:t xml:space="preserve">The Company was organized as a Florida limited liability company by the filing of Articles of Organization with the Florida Department of State, Division of Corporations, on </w:t>
      </w:r>
      <w:r>
        <w:rPr>
          <w:highlight w:val="yellow"/>
        </w:rPr>
        <w:t xml:space="preserve">[FILING DATE]</w:t>
      </w:r>
      <w:r>
        <w:t xml:space="preserve">, under document number </w:t>
      </w:r>
      <w:r>
        <w:rPr>
          <w:highlight w:val="yellow"/>
        </w:rPr>
        <w:t xml:space="preserve">[DOCUMENT NUMBER]</w:t>
      </w:r>
      <w:r>
        <w:t xml:space="preserve">, pursuant to the Florida Revised Limited Liability Company Act, Chapter 605, Florida Statutes (the </w:t>
      </w:r>
      <w:r>
        <w:rPr>
          <w:b/>
          <w:bCs/>
        </w:rPr>
        <w:t xml:space="preserve">“Act”</w:t>
      </w:r>
      <w:r>
        <w:t xml:space="preserve">).</w:t>
      </w:r>
    </w:p>
    <w:p>
      <w:pPr>
        <w:spacing w:after="60"/>
      </w:pPr>
    </w:p>
    <w:p>
      <w:pPr>
        <w:keepNext w:val="false"/>
        <w:keepLines/>
        <w:spacing w:after="140" w:before="0" w:line="264"/>
        <w:jc w:val="both"/>
      </w:pPr>
      <w:r>
        <w:rPr>
          <w:b/>
          <w:bCs/>
        </w:rPr>
        <w:t xml:space="preserve">1.2 Name.</w:t>
      </w:r>
      <w:r>
        <w:t xml:space="preserve"> </w:t>
      </w:r>
      <w:r>
        <w:t xml:space="preserve">The name of the Company is Vivara Provisions LLC. The Company may conduct business under a fictitious name registered under Section 865.09, Florida Statutes, provided that such name is approved by the Managing Member and complies with Section 6.7.</w:t>
      </w:r>
    </w:p>
    <w:p>
      <w:pPr>
        <w:spacing w:after="60"/>
      </w:pPr>
    </w:p>
    <w:p>
      <w:pPr>
        <w:keepNext w:val="false"/>
        <w:keepLines/>
        <w:spacing w:after="140" w:before="0" w:line="264"/>
        <w:jc w:val="both"/>
      </w:pPr>
      <w:r>
        <w:rPr>
          <w:b/>
          <w:bCs/>
        </w:rPr>
        <w:t xml:space="preserve">1.3 Principal Office.</w:t>
      </w:r>
      <w:r>
        <w:t xml:space="preserve"> </w:t>
      </w:r>
      <w:r>
        <w:t xml:space="preserve">The principal office of the Company is located at </w:t>
      </w:r>
      <w:r>
        <w:rPr>
          <w:highlight w:val="yellow"/>
        </w:rPr>
        <w:t xml:space="preserve">[PRINCIPAL OFFICE STREET ADDRESS]</w:t>
      </w:r>
      <w:r>
        <w:t xml:space="preserve">, or at such other place as the Managing Member may designate. The Company shall use a single principal office address consistently in its filings with the Florida Department of State, its federal tax records, its financial institution and payment processor records, and its public-facing materials.</w:t>
      </w:r>
    </w:p>
    <w:p>
      <w:pPr>
        <w:spacing w:after="60"/>
      </w:pPr>
    </w:p>
    <w:p>
      <w:pPr>
        <w:keepNext w:val="false"/>
        <w:keepLines/>
        <w:spacing w:after="140" w:before="0" w:line="264"/>
        <w:jc w:val="both"/>
      </w:pPr>
      <w:r>
        <w:rPr>
          <w:b/>
          <w:bCs/>
        </w:rPr>
        <w:t xml:space="preserve">1.4 Registered Agent and Office.</w:t>
      </w:r>
      <w:r>
        <w:t xml:space="preserve"> </w:t>
      </w:r>
      <w:r>
        <w:t xml:space="preserve">The registered agent of the Company is </w:t>
      </w:r>
      <w:r>
        <w:rPr>
          <w:highlight w:val="yellow"/>
        </w:rPr>
        <w:t xml:space="preserve">[REGISTERED AGENT LEGAL NAME]</w:t>
      </w:r>
      <w:r>
        <w:t xml:space="preserve">, whose registered office is located at </w:t>
      </w:r>
      <w:r>
        <w:rPr>
          <w:highlight w:val="yellow"/>
        </w:rPr>
        <w:t xml:space="preserve">[REGISTERED OFFICE STREET ADDRESS]</w:t>
      </w:r>
      <w:r>
        <w:t xml:space="preserve">, Florida. The Company shall at all times maintain a registered agent and registered office as required by the Act.</w:t>
      </w:r>
    </w:p>
    <w:p>
      <w:pPr>
        <w:spacing w:after="60"/>
      </w:pPr>
    </w:p>
    <w:p>
      <w:pPr>
        <w:keepNext w:val="false"/>
        <w:keepLines/>
        <w:spacing w:after="140" w:before="0" w:line="264"/>
        <w:jc w:val="both"/>
      </w:pPr>
      <w:r>
        <w:rPr>
          <w:b/>
          <w:bCs/>
        </w:rPr>
        <w:t xml:space="preserve">1.5 Term.</w:t>
      </w:r>
      <w:r>
        <w:t xml:space="preserve"> </w:t>
      </w:r>
      <w:r>
        <w:t xml:space="preserve">The Company shall have perpetual existence unless dissolved in accordance with Article XIII.</w:t>
      </w:r>
    </w:p>
    <w:p>
      <w:pPr>
        <w:spacing w:after="60"/>
      </w:pPr>
    </w:p>
    <w:p>
      <w:pPr>
        <w:keepNext w:val="false"/>
        <w:keepLines/>
        <w:spacing w:after="140" w:before="0" w:line="264"/>
        <w:jc w:val="both"/>
      </w:pPr>
      <w:r>
        <w:rPr>
          <w:b/>
          <w:bCs/>
        </w:rPr>
        <w:t xml:space="preserve">1.6 Effect of Agreement; Relationship to the Act.</w:t>
      </w:r>
      <w:r>
        <w:t xml:space="preserve"> </w:t>
      </w:r>
      <w:r>
        <w:t xml:space="preserve">This Agreement constitutes the operating agreement of the Company within the meaning of the Act and, to the fullest extent permitted by the Act, governs the affairs of the Company and the conduct of its business. To the extent any provision of this Agreement is inconsistent with a provision of the Act that may not be varied by an operating agreement, including Section 605.0105(3) of the Act, the Act shall control, and such provision shall be enforced to the maximum extent permitted.</w:t>
      </w:r>
    </w:p>
    <w:p>
      <w:pPr>
        <w:spacing w:after="60"/>
      </w:pPr>
    </w:p>
    <w:p>
      <w:pPr>
        <w:keepNext/>
        <w:keepLines/>
        <w:spacing w:after="110" w:before="0" w:line="264"/>
        <w:jc w:val="both"/>
      </w:pPr>
      <w:r>
        <w:rPr>
          <w:b/>
          <w:bCs/>
        </w:rPr>
        <w:t xml:space="preserve">1.7 Certain Definitions.</w:t>
      </w:r>
      <w:r>
        <w:t xml:space="preserve"> </w:t>
      </w:r>
      <w:r>
        <w:t xml:space="preserve">As used in this Agreement:</w:t>
      </w:r>
    </w:p>
    <w:p>
      <w:pPr>
        <w:keepNext/>
        <w:keepLines/>
        <w:spacing w:after="90" w:before="0" w:line="264"/>
        <w:ind w:left="1080" w:hanging="432"/>
        <w:jc w:val="left"/>
      </w:pPr>
      <w:r>
        <w:t xml:space="preserve">(a)</w:t>
        <w:tab/>
      </w:r>
      <w:r>
        <w:rPr>
          <w:b/>
          <w:bCs/>
        </w:rPr>
        <w:t xml:space="preserve">“Restricted Party”</w:t>
      </w:r>
      <w:r>
        <w:t xml:space="preserve"> means any person identified on a Restricted Party List, and any entity fifty percent (50%) or more owned, directly or indirectly, individually or in the aggregate, by one or more such persons.</w:t>
      </w:r>
    </w:p>
    <w:p>
      <w:pPr>
        <w:keepNext/>
        <w:keepLines/>
        <w:spacing w:after="90" w:before="0" w:line="264"/>
        <w:ind w:left="1080" w:hanging="432"/>
        <w:jc w:val="left"/>
      </w:pPr>
      <w:r>
        <w:t xml:space="preserve">(b)</w:t>
        <w:tab/>
      </w:r>
      <w:r>
        <w:rPr>
          <w:b/>
          <w:bCs/>
        </w:rPr>
        <w:t xml:space="preserve">“Restricted Party Lists”</w:t>
      </w:r>
      <w:r>
        <w:t xml:space="preserve"> means the Specially Designated Nationals and Blocked Persons List and the Cuba Restricted List; the Denied Persons List, Entity List, and Unverified List; the Debarred List; and any other list of restricted or prohibited parties maintained by an agency of the United States government.</w:t>
      </w:r>
    </w:p>
    <w:p>
      <w:pPr>
        <w:keepNext/>
        <w:keepLines/>
        <w:spacing w:after="90" w:before="0" w:line="264"/>
        <w:ind w:left="1080" w:hanging="432"/>
        <w:jc w:val="left"/>
      </w:pPr>
      <w:r>
        <w:t xml:space="preserve">(c)</w:t>
        <w:tab/>
      </w:r>
      <w:r>
        <w:rPr>
          <w:b/>
          <w:bCs/>
        </w:rPr>
        <w:t xml:space="preserve">“Sanctions and Export Laws”</w:t>
      </w:r>
      <w:r>
        <w:t xml:space="preserve"> means the Cuban Assets Control Regulations, 31 C.F.R. Part 515; the Export Administration Regulations, 15 C.F.R. Parts 730–774; the Foreign Trade Regulations, 15 C.F.R. Part 30; the Trade Sanctions Reform and Export Enhancement Act of 2000; the International Emergency Economic Powers Act; and all other sanctions and export control laws and regulations of the United States, each as amended from time to time.</w:t>
      </w:r>
    </w:p>
    <w:p>
      <w:pPr>
        <w:keepNext/>
        <w:keepLines/>
        <w:spacing w:after="90" w:before="0" w:line="264"/>
        <w:ind w:left="1080" w:hanging="432"/>
        <w:jc w:val="left"/>
      </w:pPr>
      <w:r>
        <w:t xml:space="preserve">(d)</w:t>
        <w:tab/>
      </w:r>
      <w:r>
        <w:rPr>
          <w:b/>
          <w:bCs/>
        </w:rPr>
        <w:t xml:space="preserve">“Transfer”</w:t>
      </w:r>
      <w:r>
        <w:t xml:space="preserve"> means any sale, assignment, gift, pledge, encumbrance, or other disposition, whether voluntary, involuntary, or by operation of law, and whether direct or indirect.</w:t>
      </w:r>
    </w:p>
    <w:p>
      <w:pPr>
        <w:keepNext w:val="false"/>
        <w:keepLines/>
        <w:spacing w:after="90" w:before="0" w:line="264"/>
        <w:ind w:left="1080" w:hanging="432"/>
        <w:jc w:val="left"/>
      </w:pPr>
      <w:r>
        <w:t xml:space="preserve">(e)</w:t>
        <w:tab/>
      </w:r>
      <w:r>
        <w:rPr>
          <w:b/>
          <w:bCs/>
        </w:rPr>
        <w:t xml:space="preserve">“Transferable Interest”</w:t>
      </w:r>
      <w:r>
        <w:t xml:space="preserve"> has the meaning given to “transferable interest” in the Act.</w:t>
      </w:r>
    </w:p>
    <w:p>
      <w:pPr>
        <w:spacing w:after="60"/>
      </w:pPr>
    </w:p>
    <w:p>
      <w:pPr>
        <w:pStyle w:val="Heading1"/>
        <w:keepNext/>
        <w:keepLines/>
        <w:pageBreakBefore/>
        <w:spacing w:after="280"/>
        <w:jc w:val="center"/>
      </w:pPr>
      <w:r>
        <w:t xml:space="preserve">ARTICLE II — PURPOSE AND POWERS</w:t>
      </w:r>
    </w:p>
    <w:p>
      <w:pPr>
        <w:keepNext w:val="false"/>
        <w:keepLines/>
        <w:spacing w:after="140" w:before="0" w:line="264"/>
        <w:jc w:val="both"/>
      </w:pPr>
      <w:r>
        <w:rPr>
          <w:b/>
          <w:bCs/>
        </w:rPr>
        <w:t xml:space="preserve">2.1 Purpose.</w:t>
      </w:r>
      <w:r>
        <w:t xml:space="preserve"> </w:t>
      </w:r>
      <w:r>
        <w:t xml:space="preserve">The purpose of the Company is to purchase, own, market, and sell food and other lawfully authorized goods as principal and merchant of record; to export such goods to foreign markets, including Cuba, as authorized under the laws of the United States; and to engage in any other lawful activity permitted under the Act.</w:t>
      </w:r>
    </w:p>
    <w:p>
      <w:pPr>
        <w:spacing w:after="60"/>
      </w:pPr>
    </w:p>
    <w:p>
      <w:pPr>
        <w:keepNext/>
        <w:keepLines/>
        <w:spacing w:after="110" w:before="0" w:line="264"/>
        <w:jc w:val="both"/>
      </w:pPr>
      <w:r>
        <w:rPr>
          <w:b/>
          <w:bCs/>
        </w:rPr>
        <w:t xml:space="preserve">2.2 Merchant of Record.</w:t>
      </w:r>
      <w:r>
        <w:t xml:space="preserve"> </w:t>
      </w:r>
      <w:r>
        <w:t xml:space="preserve">The Company transacts as a merchant selling goods that it owns. The Company shall:</w:t>
      </w:r>
    </w:p>
    <w:p>
      <w:pPr>
        <w:keepNext/>
        <w:keepLines/>
        <w:spacing w:after="90" w:before="0" w:line="264"/>
        <w:ind w:left="1080" w:hanging="432"/>
        <w:jc w:val="left"/>
      </w:pPr>
      <w:r>
        <w:t xml:space="preserve">(a)</w:t>
        <w:tab/>
      </w:r>
      <w:r>
        <w:t xml:space="preserve">take title to all goods it sells before the sale of such goods;</w:t>
      </w:r>
    </w:p>
    <w:p>
      <w:pPr>
        <w:keepNext/>
        <w:keepLines/>
        <w:spacing w:after="90" w:before="0" w:line="264"/>
        <w:ind w:left="1080" w:hanging="432"/>
        <w:jc w:val="left"/>
      </w:pPr>
      <w:r>
        <w:t xml:space="preserve">(b)</w:t>
        <w:tab/>
      </w:r>
      <w:r>
        <w:t xml:space="preserve">act as exporter of record on its own export transactions; and</w:t>
      </w:r>
    </w:p>
    <w:p>
      <w:pPr>
        <w:keepNext/>
        <w:keepLines/>
        <w:spacing w:after="90" w:before="0" w:line="264"/>
        <w:ind w:left="1080" w:hanging="432"/>
        <w:jc w:val="left"/>
      </w:pPr>
      <w:r>
        <w:t xml:space="preserve">(c)</w:t>
        <w:tab/>
      </w:r>
      <w:r>
        <w:t xml:space="preserve">sell goods, and shall not transmit or transfer value on behalf of any other person.</w:t>
      </w:r>
    </w:p>
    <w:p>
      <w:pPr>
        <w:keepNext/>
        <w:keepLines/>
        <w:spacing w:after="140" w:before="0" w:line="264"/>
        <w:jc w:val="both"/>
      </w:pPr>
      <w:r>
        <w:t xml:space="preserve">The Company shall not, without the prior written opinion of qualified counsel and prior written notice to each financial institution at which the Company maintains an account:</w:t>
      </w:r>
    </w:p>
    <w:p>
      <w:pPr>
        <w:keepNext/>
        <w:keepLines/>
        <w:spacing w:after="90" w:before="0" w:line="264"/>
        <w:ind w:left="1080" w:hanging="432"/>
        <w:jc w:val="left"/>
      </w:pPr>
      <w:r>
        <w:t xml:space="preserve">(d)</w:t>
        <w:tab/>
      </w:r>
      <w:r>
        <w:t xml:space="preserve">forward, consolidate, or ship goods owned by a customer or any third party;</w:t>
      </w:r>
    </w:p>
    <w:p>
      <w:pPr>
        <w:keepNext/>
        <w:keepLines/>
        <w:spacing w:after="90" w:before="0" w:line="264"/>
        <w:ind w:left="1080" w:hanging="432"/>
        <w:jc w:val="left"/>
      </w:pPr>
      <w:r>
        <w:t xml:space="preserve">(e)</w:t>
        <w:tab/>
      </w:r>
      <w:r>
        <w:t xml:space="preserve">accept funds from a customer for transmittal to any third party;</w:t>
      </w:r>
    </w:p>
    <w:p>
      <w:pPr>
        <w:keepNext/>
        <w:keepLines/>
        <w:spacing w:after="90" w:before="0" w:line="264"/>
        <w:ind w:left="1080" w:hanging="432"/>
        <w:jc w:val="left"/>
      </w:pPr>
      <w:r>
        <w:t xml:space="preserve">(f)</w:t>
        <w:tab/>
      </w:r>
      <w:r>
        <w:t xml:space="preserve">act as agent or broker for a seller of goods that the Company does not own;</w:t>
      </w:r>
    </w:p>
    <w:p>
      <w:pPr>
        <w:keepNext/>
        <w:keepLines/>
        <w:spacing w:after="90" w:before="0" w:line="264"/>
        <w:ind w:left="1080" w:hanging="432"/>
        <w:jc w:val="left"/>
      </w:pPr>
      <w:r>
        <w:t xml:space="preserve">(g)</w:t>
        <w:tab/>
      </w:r>
      <w:r>
        <w:t xml:space="preserve">offer store credit, stored value, gift balances, or any instrument redeemable other than for goods owned by the Company;</w:t>
      </w:r>
    </w:p>
    <w:p>
      <w:pPr>
        <w:keepNext/>
        <w:keepLines/>
        <w:spacing w:after="90" w:before="0" w:line="264"/>
        <w:ind w:left="1080" w:hanging="432"/>
        <w:jc w:val="left"/>
      </w:pPr>
      <w:r>
        <w:t xml:space="preserve">(h)</w:t>
        <w:tab/>
      </w:r>
      <w:r>
        <w:t xml:space="preserve">offer or accept payment on delivery to a recipient, or any arrangement under which a recipient tenders value; or</w:t>
      </w:r>
    </w:p>
    <w:p>
      <w:pPr>
        <w:keepNext w:val="false"/>
        <w:keepLines/>
        <w:spacing w:after="90" w:before="0" w:line="264"/>
        <w:ind w:left="1080" w:hanging="432"/>
        <w:jc w:val="left"/>
      </w:pPr>
      <w:r>
        <w:t xml:space="preserve">(i)</w:t>
        <w:tab/>
      </w:r>
      <w:r>
        <w:t xml:space="preserve">substitute cash, credit, or other value for goods in fulfilling any order.</w:t>
      </w:r>
    </w:p>
    <w:p>
      <w:pPr>
        <w:spacing w:after="60"/>
      </w:pPr>
    </w:p>
    <w:p>
      <w:pPr>
        <w:keepNext w:val="false"/>
        <w:keepLines/>
        <w:spacing w:after="140" w:before="0" w:line="264"/>
        <w:jc w:val="both"/>
      </w:pPr>
      <w:r>
        <w:rPr>
          <w:b/>
          <w:bCs/>
        </w:rPr>
        <w:t xml:space="preserve">2.3 Powers.</w:t>
      </w:r>
      <w:r>
        <w:t xml:space="preserve"> </w:t>
      </w:r>
      <w:r>
        <w:t xml:space="preserve">The Company shall have all powers of a limited liability company under the Act, subject to Articles II and VI.</w:t>
      </w:r>
    </w:p>
    <w:p>
      <w:pPr>
        <w:spacing w:after="60"/>
      </w:pPr>
    </w:p>
    <w:p>
      <w:pPr>
        <w:pStyle w:val="Heading1"/>
        <w:keepNext/>
        <w:keepLines/>
        <w:pageBreakBefore/>
        <w:spacing w:after="280"/>
        <w:jc w:val="center"/>
      </w:pPr>
      <w:r>
        <w:t xml:space="preserve">ARTICLE III — MEMBER AND MEMBERSHIP INTEREST</w:t>
      </w:r>
    </w:p>
    <w:p>
      <w:pPr>
        <w:keepNext w:val="false"/>
        <w:keepLines/>
        <w:spacing w:after="140" w:before="0" w:line="264"/>
        <w:jc w:val="both"/>
      </w:pPr>
      <w:r>
        <w:rPr>
          <w:b/>
          <w:bCs/>
        </w:rPr>
        <w:t xml:space="preserve">3.1 Sole Member.</w:t>
      </w:r>
      <w:r>
        <w:t xml:space="preserve"> </w:t>
      </w:r>
      <w:r>
        <w:rPr>
          <w:highlight w:val="yellow"/>
        </w:rPr>
        <w:t xml:space="preserve">[MEMBER FULL LEGAL NAME]</w:t>
      </w:r>
      <w:r>
        <w:t xml:space="preserve"> is the sole Member of the Company and holds one hundred percent (100%) of the membership interest. The name and address of the Member and the Member’s interest are set forth on Exhibit A.</w:t>
      </w:r>
    </w:p>
    <w:p>
      <w:pPr>
        <w:spacing w:after="60"/>
      </w:pPr>
    </w:p>
    <w:p>
      <w:pPr>
        <w:keepNext w:val="false"/>
        <w:keepLines/>
        <w:spacing w:after="140" w:before="0" w:line="264"/>
        <w:jc w:val="both"/>
      </w:pPr>
      <w:r>
        <w:rPr>
          <w:b/>
          <w:bCs/>
        </w:rPr>
        <w:t xml:space="preserve">3.2 Nature of Interest.</w:t>
      </w:r>
      <w:r>
        <w:t xml:space="preserve"> </w:t>
      </w:r>
      <w:r>
        <w:t xml:space="preserve">The membership interest consists of (a) the Transferable Interest, being the right to receive distributions, and (b) governance rights, including management rights and the information rights provided in Section 605.0410 of the Act. These components may be separated only as expressly provided in Article VIII.</w:t>
      </w:r>
    </w:p>
    <w:p>
      <w:pPr>
        <w:spacing w:after="60"/>
      </w:pPr>
    </w:p>
    <w:p>
      <w:pPr>
        <w:keepNext w:val="false"/>
        <w:keepLines/>
        <w:spacing w:after="140" w:before="0" w:line="264"/>
        <w:jc w:val="both"/>
      </w:pPr>
      <w:r>
        <w:rPr>
          <w:b/>
          <w:bCs/>
        </w:rPr>
        <w:t xml:space="preserve">3.3 No Additional Members.</w:t>
      </w:r>
      <w:r>
        <w:t xml:space="preserve"> </w:t>
      </w:r>
      <w:r>
        <w:t xml:space="preserve">No person shall be admitted as a Member except in accordance with Article VIII.</w:t>
      </w:r>
    </w:p>
    <w:p>
      <w:pPr>
        <w:spacing w:after="60"/>
      </w:pPr>
    </w:p>
    <w:p>
      <w:pPr>
        <w:keepNext w:val="false"/>
        <w:keepLines/>
        <w:spacing w:after="140" w:before="0" w:line="264"/>
        <w:jc w:val="both"/>
      </w:pPr>
      <w:r>
        <w:rPr>
          <w:b/>
          <w:bCs/>
        </w:rPr>
        <w:t xml:space="preserve">3.4 Beneficial Ownership.</w:t>
      </w:r>
      <w:r>
        <w:t xml:space="preserve"> </w:t>
      </w:r>
      <w:r>
        <w:t xml:space="preserve">The Member holds the membership interest for the Member’s own account and beneficial interest, and not as nominee, agent, custodian, or trustee for any other person. The Member shall not enter into any arrangement under which any undisclosed person holds a beneficial interest in the Company.</w:t>
      </w:r>
    </w:p>
    <w:p>
      <w:pPr>
        <w:spacing w:after="60"/>
      </w:pPr>
    </w:p>
    <w:p>
      <w:pPr>
        <w:keepNext w:val="false"/>
        <w:keepLines/>
        <w:spacing w:after="140" w:before="0" w:line="264"/>
        <w:jc w:val="both"/>
      </w:pPr>
      <w:r>
        <w:rPr>
          <w:b/>
          <w:bCs/>
        </w:rPr>
        <w:t xml:space="preserve">3.5 Uncertificated Interest.</w:t>
      </w:r>
      <w:r>
        <w:t xml:space="preserve"> </w:t>
      </w:r>
      <w:r>
        <w:t xml:space="preserve">The membership interest is not represented by a certificate. Exhibit A is the record of ownership of the Company.</w:t>
      </w:r>
    </w:p>
    <w:p>
      <w:pPr>
        <w:spacing w:after="60"/>
      </w:pPr>
    </w:p>
    <w:p>
      <w:pPr>
        <w:pStyle w:val="Heading1"/>
        <w:keepNext/>
        <w:keepLines/>
        <w:pageBreakBefore/>
        <w:spacing w:after="280"/>
        <w:jc w:val="center"/>
      </w:pPr>
      <w:r>
        <w:t xml:space="preserve">ARTICLE IV — CAPITAL</w:t>
      </w:r>
    </w:p>
    <w:p>
      <w:pPr>
        <w:keepNext w:val="false"/>
        <w:keepLines/>
        <w:spacing w:after="140" w:before="0" w:line="264"/>
        <w:jc w:val="both"/>
      </w:pPr>
      <w:r>
        <w:rPr>
          <w:b/>
          <w:bCs/>
        </w:rPr>
        <w:t xml:space="preserve">4.1 Initial Contribution.</w:t>
      </w:r>
      <w:r>
        <w:t xml:space="preserve"> </w:t>
      </w:r>
      <w:r>
        <w:t xml:space="preserve">The Member has contributed to the Company the capital set forth on Exhibit A.</w:t>
      </w:r>
    </w:p>
    <w:p>
      <w:pPr>
        <w:spacing w:after="60"/>
      </w:pPr>
    </w:p>
    <w:p>
      <w:pPr>
        <w:keepNext w:val="false"/>
        <w:keepLines/>
        <w:spacing w:after="140" w:before="0" w:line="264"/>
        <w:jc w:val="both"/>
      </w:pPr>
      <w:r>
        <w:rPr>
          <w:b/>
          <w:bCs/>
        </w:rPr>
        <w:t xml:space="preserve">4.2 Source of Contributed Capital.</w:t>
      </w:r>
      <w:r>
        <w:t xml:space="preserve"> </w:t>
      </w:r>
      <w:r>
        <w:t xml:space="preserve">The Member represents that all capital contributed to the Company (a) consists of the Member’s own lawful funds; (b) was transmitted from an account held in the Member’s own name at a financial institution located in the United States; (c) did not originate from Cuba or from any national of Cuba; and (d) is not the proceeds of any unlawful activity. Contributions in currency are prohibited.</w:t>
      </w:r>
    </w:p>
    <w:p>
      <w:pPr>
        <w:spacing w:after="60"/>
      </w:pPr>
    </w:p>
    <w:p>
      <w:pPr>
        <w:keepNext w:val="false"/>
        <w:keepLines/>
        <w:spacing w:after="140" w:before="0" w:line="264"/>
        <w:jc w:val="both"/>
      </w:pPr>
      <w:r>
        <w:rPr>
          <w:b/>
          <w:bCs/>
        </w:rPr>
        <w:t xml:space="preserve">4.3 No Obligation to Contribute Further; No Third-Party Rights.</w:t>
      </w:r>
      <w:r>
        <w:t xml:space="preserve"> </w:t>
      </w:r>
      <w:r>
        <w:t xml:space="preserve">The Member is not obligated to make any additional contribution to the Company. No creditor of the Company or other third party shall have any right to require or enforce any contribution.</w:t>
      </w:r>
    </w:p>
    <w:p>
      <w:pPr>
        <w:spacing w:after="60"/>
      </w:pPr>
    </w:p>
    <w:p>
      <w:pPr>
        <w:keepNext w:val="false"/>
        <w:keepLines/>
        <w:spacing w:after="140" w:before="0" w:line="264"/>
        <w:jc w:val="both"/>
      </w:pPr>
      <w:r>
        <w:rPr>
          <w:b/>
          <w:bCs/>
        </w:rPr>
        <w:t xml:space="preserve">4.4 Member Loans.</w:t>
      </w:r>
      <w:r>
        <w:t xml:space="preserve"> </w:t>
      </w:r>
      <w:r>
        <w:t xml:space="preserve">Any advance by the Member to the Company other than a capital contribution shall be evidenced by a written promissory note stating the principal amount, an interest rate within the limits of Chapter 687, Florida Statutes, a maturity date, and a repayment schedule, and shall be recorded as a liability of the Company. No such advance shall carry any participation in profits, any right of conversion, or any right to direct the operations of the Company.</w:t>
      </w:r>
    </w:p>
    <w:p>
      <w:pPr>
        <w:spacing w:after="60"/>
      </w:pPr>
    </w:p>
    <w:p>
      <w:pPr>
        <w:keepNext w:val="false"/>
        <w:keepLines/>
        <w:spacing w:after="140" w:before="0" w:line="264"/>
        <w:jc w:val="both"/>
      </w:pPr>
      <w:r>
        <w:rPr>
          <w:b/>
          <w:bCs/>
        </w:rPr>
        <w:t xml:space="preserve">4.5 Capital Account.</w:t>
      </w:r>
      <w:r>
        <w:t xml:space="preserve"> </w:t>
      </w:r>
      <w:r>
        <w:t xml:space="preserve">A capital account shall be maintained for the Member in accordance with applicable Treasury Regulations.</w:t>
      </w:r>
    </w:p>
    <w:p>
      <w:pPr>
        <w:spacing w:after="60"/>
      </w:pPr>
    </w:p>
    <w:p>
      <w:pPr>
        <w:pStyle w:val="Heading1"/>
        <w:keepNext/>
        <w:keepLines/>
        <w:pageBreakBefore/>
        <w:spacing w:after="280"/>
        <w:jc w:val="center"/>
      </w:pPr>
      <w:r>
        <w:t xml:space="preserve">ARTICLE V — MANAGEMENT</w:t>
      </w:r>
    </w:p>
    <w:p>
      <w:pPr>
        <w:keepNext w:val="false"/>
        <w:keepLines/>
        <w:spacing w:after="140" w:before="0" w:line="264"/>
        <w:jc w:val="both"/>
      </w:pPr>
      <w:r>
        <w:rPr>
          <w:b/>
          <w:bCs/>
        </w:rPr>
        <w:t xml:space="preserve">5.1 Member-Managed.</w:t>
      </w:r>
      <w:r>
        <w:t xml:space="preserve"> </w:t>
      </w:r>
      <w:r>
        <w:t xml:space="preserve">The Company is a member-managed limited liability company within the meaning of Section 605.0407 of the Act. The Member, in the Member’s capacity as manager of the Company, is referred to in this Agreement as the </w:t>
      </w:r>
      <w:r>
        <w:rPr>
          <w:b/>
          <w:bCs/>
        </w:rPr>
        <w:t xml:space="preserve">“Managing Member.”</w:t>
      </w:r>
    </w:p>
    <w:p>
      <w:pPr>
        <w:spacing w:after="60"/>
      </w:pPr>
    </w:p>
    <w:p>
      <w:pPr>
        <w:keepNext w:val="false"/>
        <w:keepLines/>
        <w:spacing w:after="140" w:before="0" w:line="264"/>
        <w:jc w:val="both"/>
      </w:pPr>
      <w:r>
        <w:rPr>
          <w:b/>
          <w:bCs/>
        </w:rPr>
        <w:t xml:space="preserve">5.2 Title and Execution of Documents.</w:t>
      </w:r>
      <w:r>
        <w:t xml:space="preserve"> </w:t>
      </w:r>
      <w:r>
        <w:t xml:space="preserve">The Managing Member shall use the title “Managing Member” and no other title in acting for the Company, and shall execute all instruments on behalf of the Company indicating that capacity in the following form: </w:t>
      </w:r>
      <w:r>
        <w:rPr>
          <w:highlight w:val="yellow"/>
        </w:rPr>
        <w:t xml:space="preserve">[NAME]</w:t>
      </w:r>
      <w:r>
        <w:t xml:space="preserve">, Managing Member, Vivara Provisions LLC.</w:t>
      </w:r>
    </w:p>
    <w:p>
      <w:pPr>
        <w:spacing w:after="60"/>
      </w:pPr>
    </w:p>
    <w:p>
      <w:pPr>
        <w:keepNext w:val="false"/>
        <w:keepLines/>
        <w:spacing w:after="140" w:before="0" w:line="264"/>
        <w:jc w:val="both"/>
      </w:pPr>
      <w:r>
        <w:rPr>
          <w:b/>
          <w:bCs/>
        </w:rPr>
        <w:t xml:space="preserve">5.3 Authority.</w:t>
      </w:r>
      <w:r>
        <w:t xml:space="preserve"> </w:t>
      </w:r>
      <w:r>
        <w:t xml:space="preserve">Subject to Articles II and VI, the Managing Member has full authority to manage the business and affairs of the Company, including the authority to open and close accounts, borrow, contract, hire, purchase and sell inventory, and execute export documentation.</w:t>
      </w:r>
    </w:p>
    <w:p>
      <w:pPr>
        <w:spacing w:after="60"/>
      </w:pPr>
    </w:p>
    <w:p>
      <w:pPr>
        <w:keepNext w:val="false"/>
        <w:keepLines/>
        <w:spacing w:after="140" w:before="0" w:line="264"/>
        <w:jc w:val="both"/>
      </w:pPr>
      <w:r>
        <w:rPr>
          <w:b/>
          <w:bCs/>
        </w:rPr>
        <w:t xml:space="preserve">5.4 Certificate of Authority.</w:t>
      </w:r>
      <w:r>
        <w:t xml:space="preserve"> </w:t>
      </w:r>
      <w:r>
        <w:t xml:space="preserve">The Company shall maintain a current certificate of authority in substantially the form of Exhibit B identifying each person authorized to bind the Company, and shall update it upon any change.</w:t>
      </w:r>
    </w:p>
    <w:p>
      <w:pPr>
        <w:spacing w:after="60"/>
      </w:pPr>
    </w:p>
    <w:p>
      <w:pPr>
        <w:keepNext w:val="false"/>
        <w:keepLines/>
        <w:spacing w:after="140" w:before="0" w:line="264"/>
        <w:jc w:val="both"/>
      </w:pPr>
      <w:r>
        <w:rPr>
          <w:b/>
          <w:bCs/>
        </w:rPr>
        <w:t xml:space="preserve">5.5 Officers.</w:t>
      </w:r>
      <w:r>
        <w:t xml:space="preserve"> </w:t>
      </w:r>
      <w:r>
        <w:t xml:space="preserve">The Company has no officers. The Managing Member may appoint officers by written resolution specifying each officer’s title and authority. No officer shall have any authority not expressly granted in writing, and no title shall be used publicly on behalf of the Company unless conferred by written resolution.</w:t>
      </w:r>
    </w:p>
    <w:p>
      <w:pPr>
        <w:spacing w:after="60"/>
      </w:pPr>
    </w:p>
    <w:p>
      <w:pPr>
        <w:keepNext w:val="false"/>
        <w:keepLines/>
        <w:spacing w:after="140" w:before="0" w:line="264"/>
        <w:jc w:val="both"/>
      </w:pPr>
      <w:r>
        <w:rPr>
          <w:b/>
          <w:bCs/>
        </w:rPr>
        <w:t xml:space="preserve">5.6 Standards of Conduct.</w:t>
      </w:r>
      <w:r>
        <w:t xml:space="preserve"> </w:t>
      </w:r>
      <w:r>
        <w:t xml:space="preserve">The Managing Member shall discharge the duties of the Managing Member in accordance with the standards of conduct set forth in Section 605.04091 of the Act.</w:t>
      </w:r>
    </w:p>
    <w:p>
      <w:pPr>
        <w:spacing w:after="60"/>
      </w:pPr>
    </w:p>
    <w:p>
      <w:pPr>
        <w:keepNext w:val="false"/>
        <w:keepLines/>
        <w:spacing w:after="140" w:before="0" w:line="264"/>
        <w:jc w:val="both"/>
      </w:pPr>
      <w:r>
        <w:rPr>
          <w:b/>
          <w:bCs/>
        </w:rPr>
        <w:t xml:space="preserve">5.7 Compensation.</w:t>
      </w:r>
      <w:r>
        <w:t xml:space="preserve"> </w:t>
      </w:r>
      <w:r>
        <w:t xml:space="preserve">The Managing Member may receive reasonable compensation for services rendered to the Company, as determined by the Member and documented in writing.</w:t>
      </w:r>
    </w:p>
    <w:p>
      <w:pPr>
        <w:spacing w:after="60"/>
      </w:pPr>
    </w:p>
    <w:p>
      <w:pPr>
        <w:pStyle w:val="Heading1"/>
        <w:keepNext/>
        <w:keepLines/>
        <w:pageBreakBefore/>
        <w:spacing w:after="280"/>
        <w:jc w:val="center"/>
      </w:pPr>
      <w:r>
        <w:t xml:space="preserve">ARTICLE VI — SANCTIONS AND EXPORT COMPLIANCE</w:t>
      </w:r>
    </w:p>
    <w:p>
      <w:pPr>
        <w:keepNext w:val="false"/>
        <w:keepLines/>
        <w:spacing w:after="140" w:before="0" w:line="264"/>
        <w:jc w:val="both"/>
      </w:pPr>
      <w:r>
        <w:rPr>
          <w:b/>
          <w:bCs/>
        </w:rPr>
        <w:t xml:space="preserve">6.1 Compliance as a Condition of Operation.</w:t>
      </w:r>
      <w:r>
        <w:t xml:space="preserve"> </w:t>
      </w:r>
      <w:r>
        <w:t xml:space="preserve">Compliance with the Sanctions and Export Laws is a condition of the Company’s operation and shall take precedence over any commercial consideration.</w:t>
      </w:r>
    </w:p>
    <w:p>
      <w:pPr>
        <w:spacing w:after="60"/>
      </w:pPr>
    </w:p>
    <w:p>
      <w:pPr>
        <w:keepNext w:val="false"/>
        <w:keepLines/>
        <w:spacing w:after="140" w:before="0" w:line="264"/>
        <w:jc w:val="both"/>
      </w:pPr>
      <w:r>
        <w:rPr>
          <w:b/>
          <w:bCs/>
        </w:rPr>
        <w:t xml:space="preserve">6.2 Compliance Officer.</w:t>
      </w:r>
      <w:r>
        <w:t xml:space="preserve"> </w:t>
      </w:r>
      <w:r>
        <w:t xml:space="preserve">The Managing Member is designated as the Company’s sanctions compliance officer (the </w:t>
      </w:r>
      <w:r>
        <w:rPr>
          <w:b/>
          <w:bCs/>
        </w:rPr>
        <w:t xml:space="preserve">“Compliance Officer”</w:t>
      </w:r>
      <w:r>
        <w:t xml:space="preserve">), with full authority over and responsibility for the Company’s compliance with the Sanctions and Export Laws. The designation shall be recorded by name and title in the Compliance Program. If a person other than the Managing Member is later designated as Compliance Officer, that person shall report directly to the Member and shall not be subject to the direction of any other person in the exercise of compliance authority.</w:t>
      </w:r>
    </w:p>
    <w:p>
      <w:pPr>
        <w:spacing w:after="60"/>
      </w:pPr>
    </w:p>
    <w:p>
      <w:pPr>
        <w:keepNext w:val="false"/>
        <w:keepLines/>
        <w:spacing w:after="140" w:before="0" w:line="264"/>
        <w:jc w:val="both"/>
      </w:pPr>
      <w:r>
        <w:rPr>
          <w:b/>
          <w:bCs/>
        </w:rPr>
        <w:t xml:space="preserve">6.3 Written Compliance Program.</w:t>
      </w:r>
      <w:r>
        <w:t xml:space="preserve"> </w:t>
      </w:r>
      <w:r>
        <w:t xml:space="preserve">The Company shall adopt and maintain a written compliance program (the </w:t>
      </w:r>
      <w:r>
        <w:rPr>
          <w:b/>
          <w:bCs/>
        </w:rPr>
        <w:t xml:space="preserve">“Compliance Program”</w:t>
      </w:r>
      <w:r>
        <w:t xml:space="preserve">) addressing, at a minimum, management commitment, risk assessment, internal controls, testing and audit, training, restricted-party screening procedures, a documented list of red flags, recordkeeping, and escalation. The Compliance Program shall be reviewed at least annually and upon any material change in applicable law.</w:t>
      </w:r>
    </w:p>
    <w:p>
      <w:pPr>
        <w:spacing w:after="60"/>
      </w:pPr>
    </w:p>
    <w:p>
      <w:pPr>
        <w:keepNext/>
        <w:keepLines/>
        <w:spacing w:after="110" w:before="0" w:line="264"/>
        <w:jc w:val="both"/>
      </w:pPr>
      <w:r>
        <w:rPr>
          <w:b/>
          <w:bCs/>
        </w:rPr>
        <w:t xml:space="preserve">6.4 Screening.</w:t>
      </w:r>
      <w:r>
        <w:t xml:space="preserve"> </w:t>
      </w:r>
      <w:r>
        <w:t xml:space="preserve">Before entering into any transaction, the Company shall screen every counterparty to the transaction, including customers, recipients and consignees in Cuba, suppliers, freight forwarders, carriers, financial institutions, referral and affiliate partners, and contractors, against each Restricted Party List, including at a minimum:</w:t>
      </w:r>
    </w:p>
    <w:p>
      <w:pPr>
        <w:keepNext/>
        <w:keepLines/>
        <w:spacing w:after="90" w:before="0" w:line="264"/>
        <w:ind w:left="1080" w:hanging="432"/>
        <w:jc w:val="left"/>
      </w:pPr>
      <w:r>
        <w:t xml:space="preserve">(a)</w:t>
        <w:tab/>
      </w:r>
      <w:r>
        <w:t xml:space="preserve">the Specially Designated Nationals and Blocked Persons List;</w:t>
      </w:r>
    </w:p>
    <w:p>
      <w:pPr>
        <w:keepNext/>
        <w:keepLines/>
        <w:spacing w:after="90" w:before="0" w:line="264"/>
        <w:ind w:left="1080" w:hanging="432"/>
        <w:jc w:val="left"/>
      </w:pPr>
      <w:r>
        <w:t xml:space="preserve">(b)</w:t>
        <w:tab/>
      </w:r>
      <w:r>
        <w:t xml:space="preserve">the Cuba Restricted List;</w:t>
      </w:r>
    </w:p>
    <w:p>
      <w:pPr>
        <w:keepNext/>
        <w:keepLines/>
        <w:spacing w:after="90" w:before="0" w:line="264"/>
        <w:ind w:left="1080" w:hanging="432"/>
        <w:jc w:val="left"/>
      </w:pPr>
      <w:r>
        <w:t xml:space="preserve">(c)</w:t>
        <w:tab/>
      </w:r>
      <w:r>
        <w:t xml:space="preserve">the Denied Persons List, Entity List, and Unverified List; and</w:t>
      </w:r>
    </w:p>
    <w:p>
      <w:pPr>
        <w:keepNext/>
        <w:keepLines/>
        <w:spacing w:after="90" w:before="0" w:line="264"/>
        <w:ind w:left="1080" w:hanging="432"/>
        <w:jc w:val="left"/>
      </w:pPr>
      <w:r>
        <w:t xml:space="preserve">(d)</w:t>
        <w:tab/>
      </w:r>
      <w:r>
        <w:t xml:space="preserve">the Debarred List,</w:t>
      </w:r>
    </w:p>
    <w:p>
      <w:pPr>
        <w:keepNext w:val="false"/>
        <w:keepLines/>
        <w:spacing w:after="140" w:before="0" w:line="264"/>
        <w:jc w:val="both"/>
      </w:pPr>
      <w:r>
        <w:t xml:space="preserve">and shall document the result, the date, the list versions consulted, and the person who performed the screening. Screening shall be repeated at the intervals specified in the Compliance Program and upon any material change in a counterparty relationship.</w:t>
      </w:r>
    </w:p>
    <w:p>
      <w:pPr>
        <w:spacing w:after="60"/>
      </w:pPr>
    </w:p>
    <w:p>
      <w:pPr>
        <w:keepNext/>
        <w:keepLines/>
        <w:spacing w:after="110" w:before="0" w:line="264"/>
        <w:jc w:val="both"/>
      </w:pPr>
      <w:r>
        <w:rPr>
          <w:b/>
          <w:bCs/>
        </w:rPr>
        <w:t xml:space="preserve">6.5 Compliance Authority.</w:t>
      </w:r>
    </w:p>
    <w:p>
      <w:pPr>
        <w:keepNext/>
        <w:keepLines/>
        <w:spacing w:after="90" w:before="0" w:line="264"/>
        <w:ind w:left="1080" w:hanging="432"/>
        <w:jc w:val="left"/>
      </w:pPr>
      <w:r>
        <w:t xml:space="preserve">(a)</w:t>
        <w:tab/>
      </w:r>
      <w:r>
        <w:t xml:space="preserve">The Compliance Officer may decline, suspend, cancel, or unwind any transaction on the basis of the Sanctions and Export Laws, in the Compliance Officer’s sole and absolute discretion.</w:t>
      </w:r>
    </w:p>
    <w:p>
      <w:pPr>
        <w:keepNext/>
        <w:keepLines/>
        <w:spacing w:after="90" w:before="0" w:line="264"/>
        <w:ind w:left="1080" w:hanging="432"/>
        <w:jc w:val="left"/>
      </w:pPr>
      <w:r>
        <w:t xml:space="preserve">(b)</w:t>
        <w:tab/>
      </w:r>
      <w:r>
        <w:t xml:space="preserve">Such authority may be exercised without the consent of any Member, lender, referral partner, customer, counterparty, or other person, and without liability to any such person for lost profit, lost opportunity, delay, or consequential damages.</w:t>
      </w:r>
    </w:p>
    <w:p>
      <w:pPr>
        <w:keepNext/>
        <w:keepLines/>
        <w:spacing w:after="90" w:before="0" w:line="264"/>
        <w:ind w:left="1080" w:hanging="432"/>
        <w:jc w:val="left"/>
      </w:pPr>
      <w:r>
        <w:t xml:space="preserve">(c)</w:t>
        <w:tab/>
      </w:r>
      <w:r>
        <w:t xml:space="preserve">No Member, lender, creditor, referral partner, affiliate, contractor, or other person shall have any right to direct, approve, veto, review, or override any transaction, counterparty selection, screening determination, or compliance decision of the Company.</w:t>
      </w:r>
    </w:p>
    <w:p>
      <w:pPr>
        <w:keepNext w:val="false"/>
        <w:keepLines/>
        <w:spacing w:after="90" w:before="0" w:line="264"/>
        <w:ind w:left="1080" w:hanging="432"/>
        <w:jc w:val="left"/>
      </w:pPr>
      <w:r>
        <w:t xml:space="preserve">(d)</w:t>
        <w:tab/>
      </w:r>
      <w:r>
        <w:t xml:space="preserve">Any agreement purporting to grant a right described in Section 6.5(c) is void as to the Company, and the Managing Member shall not execute any such agreement.</w:t>
      </w:r>
    </w:p>
    <w:p>
      <w:pPr>
        <w:spacing w:after="60"/>
      </w:pPr>
    </w:p>
    <w:p>
      <w:pPr>
        <w:keepNext/>
        <w:keepLines/>
        <w:spacing w:after="110" w:before="0" w:line="264"/>
        <w:jc w:val="both"/>
      </w:pPr>
      <w:r>
        <w:rPr>
          <w:b/>
          <w:bCs/>
        </w:rPr>
        <w:t xml:space="preserve">6.6 Prohibited Conduct.</w:t>
      </w:r>
      <w:r>
        <w:t xml:space="preserve"> </w:t>
      </w:r>
      <w:r>
        <w:t xml:space="preserve">The Company shall not:</w:t>
      </w:r>
    </w:p>
    <w:p>
      <w:pPr>
        <w:keepNext/>
        <w:keepLines/>
        <w:spacing w:after="90" w:before="0" w:line="264"/>
        <w:ind w:left="1080" w:hanging="432"/>
        <w:jc w:val="left"/>
      </w:pPr>
      <w:r>
        <w:t xml:space="preserve">(a)</w:t>
        <w:tab/>
      </w:r>
      <w:r>
        <w:t xml:space="preserve">transact, directly or indirectly, with any Restricted Party;</w:t>
      </w:r>
    </w:p>
    <w:p>
      <w:pPr>
        <w:keepNext/>
        <w:keepLines/>
        <w:spacing w:after="90" w:before="0" w:line="264"/>
        <w:ind w:left="1080" w:hanging="432"/>
        <w:jc w:val="left"/>
      </w:pPr>
      <w:r>
        <w:t xml:space="preserve">(b)</w:t>
        <w:tab/>
      </w:r>
      <w:r>
        <w:t xml:space="preserve">structure, divide, sequence, or describe any transaction so as to avoid a reporting threshold, screening control, licensing threshold, or regulatory review;</w:t>
      </w:r>
    </w:p>
    <w:p>
      <w:pPr>
        <w:keepNext/>
        <w:keepLines/>
        <w:spacing w:after="90" w:before="0" w:line="264"/>
        <w:ind w:left="1080" w:hanging="432"/>
        <w:jc w:val="left"/>
      </w:pPr>
      <w:r>
        <w:t xml:space="preserve">(c)</w:t>
        <w:tab/>
      </w:r>
      <w:r>
        <w:t xml:space="preserve">accept or make payment in cryptocurrency or any other virtual asset;</w:t>
      </w:r>
    </w:p>
    <w:p>
      <w:pPr>
        <w:keepNext/>
        <w:keepLines/>
        <w:spacing w:after="90" w:before="0" w:line="264"/>
        <w:ind w:left="1080" w:hanging="432"/>
        <w:jc w:val="left"/>
      </w:pPr>
      <w:r>
        <w:t xml:space="preserve">(d)</w:t>
        <w:tab/>
      </w:r>
      <w:r>
        <w:t xml:space="preserve">settle any obligation in merchandise, by barter, or by offset in lieu of monetary payment;</w:t>
      </w:r>
    </w:p>
    <w:p>
      <w:pPr>
        <w:keepNext/>
        <w:keepLines/>
        <w:spacing w:after="90" w:before="0" w:line="264"/>
        <w:ind w:left="1080" w:hanging="432"/>
        <w:jc w:val="left"/>
      </w:pPr>
      <w:r>
        <w:t xml:space="preserve">(e)</w:t>
        <w:tab/>
      </w:r>
      <w:r>
        <w:t xml:space="preserve">make or accept any payment through a consumer peer-to-peer payment service;</w:t>
      </w:r>
    </w:p>
    <w:p>
      <w:pPr>
        <w:keepNext/>
        <w:keepLines/>
        <w:spacing w:after="90" w:before="0" w:line="264"/>
        <w:ind w:left="1080" w:hanging="432"/>
        <w:jc w:val="left"/>
      </w:pPr>
      <w:r>
        <w:t xml:space="preserve">(f)</w:t>
        <w:tab/>
      </w:r>
      <w:r>
        <w:t xml:space="preserve">accept payment from, or make payment to, any account not held in the name of the counterparty to the underlying transaction;</w:t>
      </w:r>
    </w:p>
    <w:p>
      <w:pPr>
        <w:keepNext/>
        <w:keepLines/>
        <w:spacing w:after="90" w:before="0" w:line="264"/>
        <w:ind w:left="1080" w:hanging="432"/>
        <w:jc w:val="left"/>
      </w:pPr>
      <w:r>
        <w:t xml:space="preserve">(g)</w:t>
        <w:tab/>
      </w:r>
      <w:r>
        <w:t xml:space="preserve">make any false or misleading statement in any export declaration, customs filing, financial institution application, or payment processor application;</w:t>
      </w:r>
    </w:p>
    <w:p>
      <w:pPr>
        <w:keepNext/>
        <w:keepLines/>
        <w:spacing w:after="90" w:before="0" w:line="264"/>
        <w:ind w:left="1080" w:hanging="432"/>
        <w:jc w:val="left"/>
      </w:pPr>
      <w:r>
        <w:t xml:space="preserve">(h)</w:t>
        <w:tab/>
      </w:r>
      <w:r>
        <w:t xml:space="preserve">accept payment terms other than cash in advance or financing by a third-country financial institution for any sale of agricultural commodities, as required by the Trade Sanctions Reform and Export Enhancement Act of 2000; or</w:t>
      </w:r>
    </w:p>
    <w:p>
      <w:pPr>
        <w:keepNext w:val="false"/>
        <w:keepLines/>
        <w:spacing w:after="90" w:before="0" w:line="264"/>
        <w:ind w:left="1080" w:hanging="432"/>
        <w:jc w:val="left"/>
      </w:pPr>
      <w:r>
        <w:t xml:space="preserve">(i)</w:t>
        <w:tab/>
      </w:r>
      <w:r>
        <w:t xml:space="preserve">advertise, offer, or represent any product category, destination, or service that the Company is not authorized to provide.</w:t>
      </w:r>
    </w:p>
    <w:p>
      <w:pPr>
        <w:spacing w:after="60"/>
      </w:pPr>
    </w:p>
    <w:p>
      <w:pPr>
        <w:keepNext w:val="false"/>
        <w:keepLines/>
        <w:spacing w:after="140" w:before="0" w:line="264"/>
        <w:jc w:val="both"/>
      </w:pPr>
      <w:r>
        <w:rPr>
          <w:b/>
          <w:bCs/>
        </w:rPr>
        <w:t xml:space="preserve">6.7 Naming and Representations.</w:t>
      </w:r>
      <w:r>
        <w:t xml:space="preserve"> </w:t>
      </w:r>
      <w:r>
        <w:t xml:space="preserve">None of the Company’s legal name, any fictitious name, any domain name, any marketing material, or any material published by a referral or affiliate partner on the Company’s behalf shall use terminology describing the forwarding, sending, or transmitting of goods or funds, including </w:t>
      </w:r>
      <w:r>
        <w:rPr>
          <w:i/>
          <w:iCs/>
        </w:rPr>
        <w:t xml:space="preserve">envíos</w:t>
      </w:r>
      <w:r>
        <w:t xml:space="preserve">, </w:t>
      </w:r>
      <w:r>
        <w:rPr>
          <w:i/>
          <w:iCs/>
        </w:rPr>
        <w:t xml:space="preserve">remesas</w:t>
      </w:r>
      <w:r>
        <w:t xml:space="preserve">, “send,” courier, express, delivery, freight, shipping, or logistics, or state or imply that the Company is licensed, approved, certified, or endorsed by any governmental agency.</w:t>
      </w:r>
    </w:p>
    <w:p>
      <w:pPr>
        <w:spacing w:after="60"/>
      </w:pPr>
    </w:p>
    <w:p>
      <w:pPr>
        <w:keepNext w:val="false"/>
        <w:keepLines/>
        <w:spacing w:after="140" w:before="0" w:line="264"/>
        <w:jc w:val="both"/>
      </w:pPr>
      <w:r>
        <w:rPr>
          <w:b/>
          <w:bCs/>
        </w:rPr>
        <w:t xml:space="preserve">6.8 Counterparty Agreements.</w:t>
      </w:r>
      <w:r>
        <w:t xml:space="preserve"> </w:t>
      </w:r>
      <w:r>
        <w:t xml:space="preserve">Each agreement between the Company and a referral partner, affiliate, contractor, or service provider shall include a representation that the counterparty is not a Restricted Party; a prohibition on handling customer funds or customer-owned goods; a requirement to use only marketing materials approved by the Company, together with a schedule of prohibited claims; a right of audit; a right of immediate termination for violation; and an indemnity in favor of the Company.</w:t>
      </w:r>
    </w:p>
    <w:p>
      <w:pPr>
        <w:spacing w:after="60"/>
      </w:pPr>
    </w:p>
    <w:p>
      <w:pPr>
        <w:keepNext w:val="false"/>
        <w:keepLines/>
        <w:spacing w:after="140" w:before="0" w:line="264"/>
        <w:jc w:val="both"/>
      </w:pPr>
      <w:r>
        <w:rPr>
          <w:b/>
          <w:bCs/>
        </w:rPr>
        <w:t xml:space="preserve">6.9 Disclosure to Financial Institutions.</w:t>
      </w:r>
      <w:r>
        <w:t xml:space="preserve"> </w:t>
      </w:r>
      <w:r>
        <w:t xml:space="preserve">The Company shall disclose its Cuba-related activity fully and in writing to each financial institution and payment processor at the commencement of the relationship, and shall promptly disclose any material change in its business model, ownership, or transaction profile. The Company shall not obtain or maintain any financial account or payment processing relationship by omission or mischaracterization of its business.</w:t>
      </w:r>
    </w:p>
    <w:p>
      <w:pPr>
        <w:spacing w:after="60"/>
      </w:pPr>
    </w:p>
    <w:p>
      <w:pPr>
        <w:keepNext w:val="false"/>
        <w:keepLines/>
        <w:spacing w:after="140" w:before="0" w:line="264"/>
        <w:jc w:val="both"/>
      </w:pPr>
      <w:r>
        <w:rPr>
          <w:b/>
          <w:bCs/>
        </w:rPr>
        <w:t xml:space="preserve">6.10 Escalation.</w:t>
      </w:r>
      <w:r>
        <w:t xml:space="preserve"> </w:t>
      </w:r>
      <w:r>
        <w:t xml:space="preserve">Any transaction presenting a red flag identified in the Compliance Program shall be suspended pending documented review and, where the Compliance Program so requires, pending the advice of counsel.</w:t>
      </w:r>
    </w:p>
    <w:p>
      <w:pPr>
        <w:spacing w:after="60"/>
      </w:pPr>
    </w:p>
    <w:p>
      <w:pPr>
        <w:pStyle w:val="Heading1"/>
        <w:keepNext/>
        <w:keepLines/>
        <w:pageBreakBefore/>
        <w:spacing w:after="280"/>
        <w:jc w:val="center"/>
      </w:pPr>
      <w:r>
        <w:t xml:space="preserve">ARTICLE VII — BOOKS, RECORDS, AND RETENTION</w:t>
      </w:r>
    </w:p>
    <w:p>
      <w:pPr>
        <w:keepNext w:val="false"/>
        <w:keepLines/>
        <w:spacing w:after="140" w:before="0" w:line="264"/>
        <w:jc w:val="both"/>
      </w:pPr>
      <w:r>
        <w:rPr>
          <w:b/>
          <w:bCs/>
        </w:rPr>
        <w:t xml:space="preserve">7.1 Records.</w:t>
      </w:r>
      <w:r>
        <w:t xml:space="preserve"> </w:t>
      </w:r>
      <w:r>
        <w:t xml:space="preserve">The Company shall maintain the records required by Section 605.0410 of the Act, together with complete and accurate books of account kept separately from the personal records of the Member.</w:t>
      </w:r>
    </w:p>
    <w:p>
      <w:pPr>
        <w:spacing w:after="60"/>
      </w:pPr>
    </w:p>
    <w:p>
      <w:pPr>
        <w:keepNext w:val="false"/>
        <w:keepLines/>
        <w:spacing w:after="140" w:before="0" w:line="264"/>
        <w:jc w:val="both"/>
      </w:pPr>
      <w:r>
        <w:rPr>
          <w:b/>
          <w:bCs/>
        </w:rPr>
        <w:t xml:space="preserve">7.2 Retention.</w:t>
      </w:r>
      <w:r>
        <w:t xml:space="preserve"> </w:t>
      </w:r>
      <w:r>
        <w:t xml:space="preserve">The Company shall retain, for not less than ten (10) years from the date of the related transaction or such longer period as applicable law may require, all export documentation, including Electronic Export Information filings, internal transaction numbers, commercial invoices, packing lists, bills of lading, and license exception determinations; all screening records; all customer and counterparty due diligence; all payment records; all correspondence bearing on any compliance determination; and all agreements.</w:t>
      </w:r>
    </w:p>
    <w:p>
      <w:pPr>
        <w:spacing w:after="60"/>
      </w:pPr>
    </w:p>
    <w:p>
      <w:pPr>
        <w:keepNext w:val="false"/>
        <w:keepLines/>
        <w:spacing w:after="140" w:before="0" w:line="264"/>
        <w:jc w:val="both"/>
      </w:pPr>
      <w:r>
        <w:rPr>
          <w:b/>
          <w:bCs/>
        </w:rPr>
        <w:t xml:space="preserve">7.3 Separateness.</w:t>
      </w:r>
      <w:r>
        <w:t xml:space="preserve"> </w:t>
      </w:r>
      <w:r>
        <w:t xml:space="preserve">The Company shall maintain bank accounts in its own name; shall not commingle its funds with the personal funds of the Member or the funds of any affiliated entity; shall not pay any personal expense of the Member from a Company account except as documented compensation or distribution; and shall contract in its own name.</w:t>
      </w:r>
    </w:p>
    <w:p>
      <w:pPr>
        <w:spacing w:after="60"/>
      </w:pPr>
    </w:p>
    <w:p>
      <w:pPr>
        <w:keepNext w:val="false"/>
        <w:keepLines/>
        <w:spacing w:after="140" w:before="0" w:line="264"/>
        <w:jc w:val="both"/>
      </w:pPr>
      <w:r>
        <w:rPr>
          <w:b/>
          <w:bCs/>
        </w:rPr>
        <w:t xml:space="preserve">7.4 No Cross-Guarantee; Affiliate Dealings.</w:t>
      </w:r>
      <w:r>
        <w:t xml:space="preserve"> </w:t>
      </w:r>
      <w:r>
        <w:t xml:space="preserve">The Company shall not guarantee, pledge its assets to secure, or assume any obligation of any other entity under common ownership, and shall not permit its obligations to be so supported. Any service provided to or received from an affiliated entity shall be documented in a written agreement on commercially reasonable, arm’s-length terms.</w:t>
      </w:r>
    </w:p>
    <w:p>
      <w:pPr>
        <w:spacing w:after="60"/>
      </w:pPr>
    </w:p>
    <w:p>
      <w:pPr>
        <w:keepNext w:val="false"/>
        <w:keepLines/>
        <w:spacing w:after="140" w:before="0" w:line="264"/>
        <w:jc w:val="both"/>
      </w:pPr>
      <w:r>
        <w:rPr>
          <w:b/>
          <w:bCs/>
        </w:rPr>
        <w:t xml:space="preserve">7.5 Tax Identity.</w:t>
      </w:r>
      <w:r>
        <w:t xml:space="preserve"> </w:t>
      </w:r>
      <w:r>
        <w:t xml:space="preserve">The Company shall maintain its own Employer Identification Number and its own books and records regardless of its classification for federal income tax purposes.</w:t>
      </w:r>
    </w:p>
    <w:p>
      <w:pPr>
        <w:spacing w:after="60"/>
      </w:pPr>
    </w:p>
    <w:p>
      <w:pPr>
        <w:pStyle w:val="Heading1"/>
        <w:keepNext/>
        <w:keepLines/>
        <w:pageBreakBefore/>
        <w:spacing w:after="280"/>
        <w:jc w:val="center"/>
      </w:pPr>
      <w:r>
        <w:t xml:space="preserve">ARTICLE VIII — TRANSFERS AND ADMISSION OF MEMBERS</w:t>
      </w:r>
    </w:p>
    <w:p>
      <w:pPr>
        <w:keepNext w:val="false"/>
        <w:keepLines/>
        <w:spacing w:after="140" w:before="0" w:line="264"/>
        <w:jc w:val="both"/>
      </w:pPr>
      <w:r>
        <w:rPr>
          <w:b/>
          <w:bCs/>
        </w:rPr>
        <w:t xml:space="preserve">8.1 Restriction on Transfer.</w:t>
      </w:r>
      <w:r>
        <w:t xml:space="preserve"> </w:t>
      </w:r>
      <w:r>
        <w:t xml:space="preserve">No membership interest or Transferable Interest, in whole or in part, may be the subject of a Transfer except in compliance with this Article VIII. Any purported Transfer in violation of this Article VIII is void and shall not be recorded on the books of the Company.</w:t>
      </w:r>
    </w:p>
    <w:p>
      <w:pPr>
        <w:spacing w:after="60"/>
      </w:pPr>
    </w:p>
    <w:p>
      <w:pPr>
        <w:keepNext/>
        <w:keepLines/>
        <w:spacing w:after="110" w:before="0" w:line="264"/>
        <w:jc w:val="both"/>
      </w:pPr>
      <w:r>
        <w:rPr>
          <w:b/>
          <w:bCs/>
        </w:rPr>
        <w:t xml:space="preserve">8.2 Conditions to Transfer and Admission.</w:t>
      </w:r>
      <w:r>
        <w:t xml:space="preserve"> </w:t>
      </w:r>
      <w:r>
        <w:t xml:space="preserve">No Transfer shall be effective, and no person shall be admitted as a Member, unless and until:</w:t>
      </w:r>
    </w:p>
    <w:p>
      <w:pPr>
        <w:keepNext/>
        <w:keepLines/>
        <w:spacing w:after="90" w:before="0" w:line="264"/>
        <w:ind w:left="1080" w:hanging="432"/>
        <w:jc w:val="left"/>
      </w:pPr>
      <w:r>
        <w:t xml:space="preserve">(a)</w:t>
        <w:tab/>
      </w:r>
      <w:r>
        <w:t xml:space="preserve">the proposed transferee and each of its beneficial owners has been screened against each Restricted Party List with no adverse result;</w:t>
      </w:r>
    </w:p>
    <w:p>
      <w:pPr>
        <w:keepNext/>
        <w:keepLines/>
        <w:spacing w:after="90" w:before="0" w:line="264"/>
        <w:ind w:left="1080" w:hanging="432"/>
        <w:jc w:val="left"/>
      </w:pPr>
      <w:r>
        <w:t xml:space="preserve">(b)</w:t>
        <w:tab/>
      </w:r>
      <w:r>
        <w:t xml:space="preserve">the proposed transferee has delivered the representations set forth in Article IX;</w:t>
      </w:r>
    </w:p>
    <w:p>
      <w:pPr>
        <w:keepNext/>
        <w:keepLines/>
        <w:spacing w:after="90" w:before="0" w:line="264"/>
        <w:ind w:left="1080" w:hanging="432"/>
        <w:jc w:val="left"/>
      </w:pPr>
      <w:r>
        <w:t xml:space="preserve">(c)</w:t>
        <w:tab/>
      </w:r>
      <w:r>
        <w:t xml:space="preserve">the Managing Member has consented in writing;</w:t>
      </w:r>
    </w:p>
    <w:p>
      <w:pPr>
        <w:keepNext/>
        <w:keepLines/>
        <w:spacing w:after="90" w:before="0" w:line="264"/>
        <w:ind w:left="1080" w:hanging="432"/>
        <w:jc w:val="left"/>
      </w:pPr>
      <w:r>
        <w:t xml:space="preserve">(d)</w:t>
        <w:tab/>
      </w:r>
      <w:r>
        <w:t xml:space="preserve">each financial institution at which the Company maintains an account has received written notice; and</w:t>
      </w:r>
    </w:p>
    <w:p>
      <w:pPr>
        <w:keepNext w:val="false"/>
        <w:keepLines/>
        <w:spacing w:after="90" w:before="0" w:line="264"/>
        <w:ind w:left="1080" w:hanging="432"/>
        <w:jc w:val="left"/>
      </w:pPr>
      <w:r>
        <w:t xml:space="preserve">(e)</w:t>
        <w:tab/>
      </w:r>
      <w:r>
        <w:t xml:space="preserve">where the Transfer would result in any person holding twenty-five percent (25%) or more of the equity of the Company, any beneficial ownership certification required under 31 C.F.R. § 1010.230 has been updated.</w:t>
      </w:r>
    </w:p>
    <w:p>
      <w:pPr>
        <w:spacing w:after="60"/>
      </w:pPr>
    </w:p>
    <w:p>
      <w:pPr>
        <w:keepNext w:val="false"/>
        <w:keepLines/>
        <w:spacing w:after="140" w:before="0" w:line="264"/>
        <w:jc w:val="both"/>
      </w:pPr>
      <w:r>
        <w:rPr>
          <w:b/>
          <w:bCs/>
        </w:rPr>
        <w:t xml:space="preserve">8.3 Rights of Transferees.</w:t>
      </w:r>
      <w:r>
        <w:t xml:space="preserve"> </w:t>
      </w:r>
      <w:r>
        <w:t xml:space="preserve">A transferee who has not been admitted as a Member holds only the Transferable Interest and has no governance, management, voting, or information rights.</w:t>
      </w:r>
    </w:p>
    <w:p>
      <w:pPr>
        <w:spacing w:after="60"/>
      </w:pPr>
    </w:p>
    <w:p>
      <w:pPr>
        <w:keepNext/>
        <w:keepLines/>
        <w:spacing w:after="110" w:before="0" w:line="264"/>
        <w:jc w:val="both"/>
      </w:pPr>
      <w:r>
        <w:rPr>
          <w:b/>
          <w:bCs/>
        </w:rPr>
        <w:t xml:space="preserve">8.4 Restricted Holders.</w:t>
      </w:r>
      <w:r>
        <w:t xml:space="preserve"> </w:t>
      </w:r>
      <w:r>
        <w:t xml:space="preserve">If any Member or holder of a Transferable Interest becomes a Restricted Party, becomes a person with whom dealings are prohibited under the Sanctions and Export Laws, or ceases to be a citizen or lawful permanent resident of the United States (a </w:t>
      </w:r>
      <w:r>
        <w:rPr>
          <w:b/>
          <w:bCs/>
        </w:rPr>
        <w:t xml:space="preserve">“Restricted Holder”</w:t>
      </w:r>
      <w:r>
        <w:t xml:space="preserve">), then, effective immediately and without further action:</w:t>
      </w:r>
    </w:p>
    <w:p>
      <w:pPr>
        <w:keepNext/>
        <w:keepLines/>
        <w:spacing w:after="90" w:before="0" w:line="264"/>
        <w:ind w:left="1080" w:hanging="432"/>
        <w:jc w:val="left"/>
      </w:pPr>
      <w:r>
        <w:t xml:space="preserve">(a)</w:t>
        <w:tab/>
      </w:r>
      <w:r>
        <w:t xml:space="preserve">all governance, voting, management, and information rights of the Restricted Holder are suspended;</w:t>
      </w:r>
    </w:p>
    <w:p>
      <w:pPr>
        <w:keepNext/>
        <w:keepLines/>
        <w:spacing w:after="90" w:before="0" w:line="264"/>
        <w:ind w:left="1080" w:hanging="432"/>
        <w:jc w:val="left"/>
      </w:pPr>
      <w:r>
        <w:t xml:space="preserve">(b)</w:t>
        <w:tab/>
      </w:r>
      <w:r>
        <w:t xml:space="preserve">any distribution otherwise payable to the Restricted Holder shall be withheld and, where required by the Sanctions and Export Laws, deposited into a blocked, interest-bearing account at a financial institution located in the United States and reported as those laws require;</w:t>
      </w:r>
    </w:p>
    <w:p>
      <w:pPr>
        <w:keepNext/>
        <w:keepLines/>
        <w:spacing w:after="90" w:before="0" w:line="264"/>
        <w:ind w:left="1080" w:hanging="432"/>
        <w:jc w:val="left"/>
      </w:pPr>
      <w:r>
        <w:t xml:space="preserve">(c)</w:t>
        <w:tab/>
      </w:r>
      <w:r>
        <w:t xml:space="preserve">if the Restricted Holder is the Managing Member, the Successor Manager shall assume management of the Company as if an event described in Section 10.2 had occurred;</w:t>
      </w:r>
    </w:p>
    <w:p>
      <w:pPr>
        <w:keepNext/>
        <w:keepLines/>
        <w:spacing w:after="90" w:before="0" w:line="264"/>
        <w:ind w:left="1080" w:hanging="432"/>
        <w:jc w:val="left"/>
      </w:pPr>
      <w:r>
        <w:t xml:space="preserve">(d)</w:t>
        <w:tab/>
      </w:r>
      <w:r>
        <w:t xml:space="preserve">the Company may, by written notice, elect to purchase the Restricted Holder’s interest at its fair market value as determined by an independent appraiser selected by the Company; provided that, where the property and interests in property of the Restricted Holder are blocked, no Transfer shall be effected and no consideration paid except pursuant to a license or other authorization issued by the Office of Foreign Assets Control, and any consideration shall be paid only into a blocked account as required by law; and</w:t>
      </w:r>
    </w:p>
    <w:p>
      <w:pPr>
        <w:keepNext w:val="false"/>
        <w:keepLines/>
        <w:spacing w:after="90" w:before="0" w:line="264"/>
        <w:ind w:left="1080" w:hanging="432"/>
        <w:jc w:val="left"/>
      </w:pPr>
      <w:r>
        <w:t xml:space="preserve">(e)</w:t>
        <w:tab/>
      </w:r>
      <w:r>
        <w:t xml:space="preserve">the Company may apply to the Office of Foreign Assets Control for any license required to give effect to this Section 8.4.</w:t>
      </w:r>
    </w:p>
    <w:p>
      <w:pPr>
        <w:spacing w:after="60"/>
      </w:pPr>
    </w:p>
    <w:p>
      <w:pPr>
        <w:keepNext w:val="false"/>
        <w:keepLines/>
        <w:spacing w:after="140" w:before="0" w:line="264"/>
        <w:jc w:val="both"/>
      </w:pPr>
      <w:r>
        <w:rPr>
          <w:b/>
          <w:bCs/>
        </w:rPr>
        <w:t xml:space="preserve">8.5 Security Interests.</w:t>
      </w:r>
      <w:r>
        <w:t xml:space="preserve"> </w:t>
      </w:r>
      <w:r>
        <w:t xml:space="preserve">No security interest in any membership interest or Transferable Interest shall be granted except in compliance with Section 8.2.</w:t>
      </w:r>
    </w:p>
    <w:p>
      <w:pPr>
        <w:spacing w:after="60"/>
      </w:pPr>
    </w:p>
    <w:p>
      <w:pPr>
        <w:pStyle w:val="Heading1"/>
        <w:keepNext/>
        <w:keepLines/>
        <w:pageBreakBefore/>
        <w:spacing w:after="280"/>
        <w:jc w:val="center"/>
      </w:pPr>
      <w:r>
        <w:t xml:space="preserve">ARTICLE IX — MEMBER REPRESENTATIONS AND COVENANTS</w:t>
      </w:r>
    </w:p>
    <w:p>
      <w:pPr>
        <w:keepNext/>
        <w:keepLines/>
        <w:spacing w:after="110" w:before="0" w:line="264"/>
        <w:jc w:val="both"/>
      </w:pPr>
      <w:r>
        <w:rPr>
          <w:b/>
          <w:bCs/>
        </w:rPr>
        <w:t xml:space="preserve">9.1 Representations.</w:t>
      </w:r>
      <w:r>
        <w:t xml:space="preserve"> </w:t>
      </w:r>
      <w:r>
        <w:t xml:space="preserve">Each Member represents and warrants, as of the date of the Member’s admission and as reaffirmed annually in writing, that the Member:</w:t>
      </w:r>
    </w:p>
    <w:p>
      <w:pPr>
        <w:keepNext/>
        <w:keepLines/>
        <w:spacing w:after="90" w:before="0" w:line="264"/>
        <w:ind w:left="1080" w:hanging="432"/>
        <w:jc w:val="left"/>
      </w:pPr>
      <w:r>
        <w:t xml:space="preserve">(a)</w:t>
        <w:tab/>
      </w:r>
      <w:r>
        <w:t xml:space="preserve">is a citizen or lawful permanent resident of the United States, and will furnish documentation of that status upon request;</w:t>
      </w:r>
    </w:p>
    <w:p>
      <w:pPr>
        <w:keepNext/>
        <w:keepLines/>
        <w:spacing w:after="90" w:before="0" w:line="264"/>
        <w:ind w:left="1080" w:hanging="432"/>
        <w:jc w:val="left"/>
      </w:pPr>
      <w:r>
        <w:t xml:space="preserve">(b)</w:t>
        <w:tab/>
      </w:r>
      <w:r>
        <w:t xml:space="preserve">is not a Restricted Party;</w:t>
      </w:r>
    </w:p>
    <w:p>
      <w:pPr>
        <w:keepNext/>
        <w:keepLines/>
        <w:spacing w:after="90" w:before="0" w:line="264"/>
        <w:ind w:left="1080" w:hanging="432"/>
        <w:jc w:val="left"/>
      </w:pPr>
      <w:r>
        <w:t xml:space="preserve">(c)</w:t>
        <w:tab/>
      </w:r>
      <w:r>
        <w:t xml:space="preserve">is not a “prohibited official of the Government of Cuba” within the meaning of 31 C.F.R. § 515.337, or a “prohibited member of the Cuban Communist Party” within the meaning of 31 C.F.R. § 515.338;</w:t>
      </w:r>
    </w:p>
    <w:p>
      <w:pPr>
        <w:keepNext/>
        <w:keepLines/>
        <w:spacing w:after="90" w:before="0" w:line="264"/>
        <w:ind w:left="1080" w:hanging="432"/>
        <w:jc w:val="left"/>
      </w:pPr>
      <w:r>
        <w:t xml:space="preserve">(d)</w:t>
        <w:tab/>
      </w:r>
      <w:r>
        <w:t xml:space="preserve">is not subject to any denial order, consent agreement, or debarment issued by the Bureau of Industry and Security, the Office of Foreign Assets Control, or the Directorate of Defense Trade Controls;</w:t>
      </w:r>
    </w:p>
    <w:p>
      <w:pPr>
        <w:keepNext/>
        <w:keepLines/>
        <w:spacing w:after="90" w:before="0" w:line="264"/>
        <w:ind w:left="1080" w:hanging="432"/>
        <w:jc w:val="left"/>
      </w:pPr>
      <w:r>
        <w:t xml:space="preserve">(e)</w:t>
        <w:tab/>
      </w:r>
      <w:r>
        <w:t xml:space="preserve">holds the membership interest for the Member’s own account and not as nominee for any other person;</w:t>
      </w:r>
    </w:p>
    <w:p>
      <w:pPr>
        <w:keepNext/>
        <w:keepLines/>
        <w:spacing w:after="90" w:before="0" w:line="264"/>
        <w:ind w:left="1080" w:hanging="432"/>
        <w:jc w:val="left"/>
      </w:pPr>
      <w:r>
        <w:t xml:space="preserve">(f)</w:t>
        <w:tab/>
      </w:r>
      <w:r>
        <w:t xml:space="preserve">has contributed only funds meeting the requirements of Section 4.2; and</w:t>
      </w:r>
    </w:p>
    <w:p>
      <w:pPr>
        <w:keepNext w:val="false"/>
        <w:keepLines/>
        <w:spacing w:after="90" w:before="0" w:line="264"/>
        <w:ind w:left="1080" w:hanging="432"/>
        <w:jc w:val="left"/>
      </w:pPr>
      <w:r>
        <w:t xml:space="preserve">(g)</w:t>
        <w:tab/>
      </w:r>
      <w:r>
        <w:t xml:space="preserve">is not a party to any agreement granting any person a right to direct the operations or compliance determinations of the Company.</w:t>
      </w:r>
    </w:p>
    <w:p>
      <w:pPr>
        <w:spacing w:after="60"/>
      </w:pPr>
    </w:p>
    <w:p>
      <w:pPr>
        <w:keepNext w:val="false"/>
        <w:keepLines/>
        <w:spacing w:after="140" w:before="0" w:line="264"/>
        <w:jc w:val="both"/>
      </w:pPr>
      <w:r>
        <w:rPr>
          <w:b/>
          <w:bCs/>
        </w:rPr>
        <w:t xml:space="preserve">9.2 Covenants.</w:t>
      </w:r>
      <w:r>
        <w:t xml:space="preserve"> </w:t>
      </w:r>
      <w:r>
        <w:t xml:space="preserve">Each Member shall notify the Company in writing within five (5) business days after any event that renders any representation in Section 9.1 untrue or incomplete, and shall cooperate with any screening, verification, or documentation request made by the Company or by any financial institution, payment processor, or governmental authority.</w:t>
      </w:r>
    </w:p>
    <w:p>
      <w:pPr>
        <w:spacing w:after="60"/>
      </w:pPr>
    </w:p>
    <w:p>
      <w:pPr>
        <w:keepNext w:val="false"/>
        <w:keepLines/>
        <w:spacing w:after="140" w:before="0" w:line="264"/>
        <w:jc w:val="both"/>
      </w:pPr>
      <w:r>
        <w:rPr>
          <w:b/>
          <w:bCs/>
        </w:rPr>
        <w:t xml:space="preserve">9.3 Annual Reaffirmation.</w:t>
      </w:r>
      <w:r>
        <w:t xml:space="preserve"> </w:t>
      </w:r>
      <w:r>
        <w:t xml:space="preserve">The Managing Member shall obtain from each Member, annually, a signed reaffirmation of the representations in Section 9.1 in substantially the form of Exhibit D, and shall retain each reaffirmation in accordance with Article VII.</w:t>
      </w:r>
    </w:p>
    <w:p>
      <w:pPr>
        <w:spacing w:after="60"/>
      </w:pPr>
    </w:p>
    <w:p>
      <w:pPr>
        <w:keepNext w:val="false"/>
        <w:keepLines/>
        <w:spacing w:after="140" w:before="0" w:line="264"/>
        <w:jc w:val="both"/>
      </w:pPr>
      <w:r>
        <w:rPr>
          <w:b/>
          <w:bCs/>
        </w:rPr>
        <w:t xml:space="preserve">9.4 Breach.</w:t>
      </w:r>
      <w:r>
        <w:t xml:space="preserve"> </w:t>
      </w:r>
      <w:r>
        <w:t xml:space="preserve">A breach of Section 9.1 or Section 9.2 constitutes a material breach of this Agreement. Section 8.4 applies to any Member who becomes a Restricted Holder.</w:t>
      </w:r>
    </w:p>
    <w:p>
      <w:pPr>
        <w:spacing w:after="60"/>
      </w:pPr>
    </w:p>
    <w:p>
      <w:pPr>
        <w:pStyle w:val="Heading1"/>
        <w:keepNext/>
        <w:keepLines/>
        <w:pageBreakBefore/>
        <w:spacing w:after="280"/>
        <w:jc w:val="center"/>
      </w:pPr>
      <w:r>
        <w:t xml:space="preserve">ARTICLE X — CONTINUITY</w:t>
      </w:r>
    </w:p>
    <w:p>
      <w:pPr>
        <w:keepNext w:val="false"/>
        <w:keepLines/>
        <w:spacing w:after="140" w:before="0" w:line="264"/>
        <w:jc w:val="both"/>
      </w:pPr>
      <w:r>
        <w:rPr>
          <w:b/>
          <w:bCs/>
        </w:rPr>
        <w:t xml:space="preserve">10.1 Successor Manager.</w:t>
      </w:r>
      <w:r>
        <w:t xml:space="preserve"> </w:t>
      </w:r>
      <w:r>
        <w:t xml:space="preserve">The Member designates the person identified as successor manager on Exhibit C (the </w:t>
      </w:r>
      <w:r>
        <w:rPr>
          <w:b/>
          <w:bCs/>
        </w:rPr>
        <w:t xml:space="preserve">“Successor Manager”</w:t>
      </w:r>
      <w:r>
        <w:t xml:space="preserve">) and the person identified as alternate on Exhibit C. The Member may revise either designation in writing at any time.</w:t>
      </w:r>
    </w:p>
    <w:p>
      <w:pPr>
        <w:spacing w:after="60"/>
      </w:pPr>
    </w:p>
    <w:p>
      <w:pPr>
        <w:keepNext w:val="false"/>
        <w:keepLines/>
        <w:spacing w:after="140" w:before="0" w:line="264"/>
        <w:jc w:val="both"/>
      </w:pPr>
      <w:r>
        <w:rPr>
          <w:b/>
          <w:bCs/>
        </w:rPr>
        <w:t xml:space="preserve">10.2 Succession.</w:t>
      </w:r>
      <w:r>
        <w:t xml:space="preserve"> </w:t>
      </w:r>
      <w:r>
        <w:t xml:space="preserve">Upon the death or adjudicated incapacity of the Managing Member, or upon written certification by two licensed physicians that the Managing Member is unable to manage the affairs of the Company, the Successor Manager shall automatically become manager of the Company, with the authority described in Article V, without the need for judicial appointment or the consent of any other person.</w:t>
      </w:r>
    </w:p>
    <w:p>
      <w:pPr>
        <w:spacing w:after="60"/>
      </w:pPr>
    </w:p>
    <w:p>
      <w:pPr>
        <w:keepNext w:val="false"/>
        <w:keepLines/>
        <w:spacing w:after="140" w:before="0" w:line="264"/>
        <w:jc w:val="both"/>
      </w:pPr>
      <w:r>
        <w:rPr>
          <w:b/>
          <w:bCs/>
        </w:rPr>
        <w:t xml:space="preserve">10.3 Qualifications.</w:t>
      </w:r>
      <w:r>
        <w:t xml:space="preserve"> </w:t>
      </w:r>
      <w:r>
        <w:t xml:space="preserve">The Successor Manager shall satisfy the requirements of Sections 9.1(b), 9.1(c), and 9.1(d) at the time of designation and shall be screened in accordance with Section 6.4 before assuming any authority. A person who is not so qualified shall not serve, and the alternate shall serve instead.</w:t>
      </w:r>
    </w:p>
    <w:p>
      <w:pPr>
        <w:spacing w:after="60"/>
      </w:pPr>
    </w:p>
    <w:p>
      <w:pPr>
        <w:keepNext w:val="false"/>
        <w:keepLines/>
        <w:spacing w:after="140" w:before="0" w:line="264"/>
        <w:jc w:val="both"/>
      </w:pPr>
      <w:r>
        <w:rPr>
          <w:b/>
          <w:bCs/>
        </w:rPr>
        <w:t xml:space="preserve">10.4 Duties of the Successor Manager.</w:t>
      </w:r>
      <w:r>
        <w:t xml:space="preserve"> </w:t>
      </w:r>
      <w:r>
        <w:t xml:space="preserve">Upon assuming management of the Company, the Successor Manager shall notify each financial institution, payment processor, carrier, and freight forwarder with which the Company does business, and the Bureau of Industry and Security, of the change; shall serve as Compliance Officer or designate a qualified person to serve; and shall either continue the business of the Company in accordance with this Agreement or wind up its affairs in accordance with Article XIII.</w:t>
      </w:r>
    </w:p>
    <w:p>
      <w:pPr>
        <w:spacing w:after="60"/>
      </w:pPr>
    </w:p>
    <w:p>
      <w:pPr>
        <w:keepNext w:val="false"/>
        <w:keepLines/>
        <w:spacing w:after="140" w:before="0" w:line="264"/>
        <w:jc w:val="both"/>
      </w:pPr>
      <w:r>
        <w:rPr>
          <w:b/>
          <w:bCs/>
        </w:rPr>
        <w:t xml:space="preserve">10.5 Durable Power of Attorney.</w:t>
      </w:r>
      <w:r>
        <w:t xml:space="preserve"> </w:t>
      </w:r>
      <w:r>
        <w:t xml:space="preserve">The Member shall execute and maintain a durable power of attorney under Chapter 709, Florida Statutes, authorizing the agent named in it to exercise the Member’s rights with respect to the membership interest. The agent shall exercise those rights consistently with this Agreement. Management of the Company shall pass only as provided in this Article X, and no agent acting under a power of attorney shall exercise management authority over the Company except in the capacity of Successor Manager.</w:t>
      </w:r>
    </w:p>
    <w:p>
      <w:pPr>
        <w:spacing w:after="60"/>
      </w:pPr>
    </w:p>
    <w:p>
      <w:pPr>
        <w:keepNext w:val="false"/>
        <w:keepLines/>
        <w:spacing w:after="140" w:before="0" w:line="264"/>
        <w:jc w:val="both"/>
      </w:pPr>
      <w:r>
        <w:rPr>
          <w:b/>
          <w:bCs/>
        </w:rPr>
        <w:t xml:space="preserve">10.6 Trusts.</w:t>
      </w:r>
      <w:r>
        <w:t xml:space="preserve"> </w:t>
      </w:r>
      <w:r>
        <w:t xml:space="preserve">The membership interest is not held in trust, and no trustee holds or exercises any authority over the Company. Any future Transfer of the membership interest to a revocable trust shall comply with Article VIII, shall leave the Member as Managing Member, and shall be disclosed in writing to each financial institution at which the Company maintains an account before the Transfer is made.</w:t>
      </w:r>
    </w:p>
    <w:p>
      <w:pPr>
        <w:spacing w:after="60"/>
      </w:pPr>
    </w:p>
    <w:p>
      <w:pPr>
        <w:pStyle w:val="Heading1"/>
        <w:keepNext/>
        <w:keepLines/>
        <w:pageBreakBefore/>
        <w:spacing w:after="280"/>
        <w:jc w:val="center"/>
      </w:pPr>
      <w:r>
        <w:t xml:space="preserve">ARTICLE XI — DISTRIBUTIONS AND TAX</w:t>
      </w:r>
    </w:p>
    <w:p>
      <w:pPr>
        <w:keepNext w:val="false"/>
        <w:keepLines/>
        <w:spacing w:after="140" w:before="0" w:line="264"/>
        <w:jc w:val="both"/>
      </w:pPr>
      <w:r>
        <w:rPr>
          <w:b/>
          <w:bCs/>
        </w:rPr>
        <w:t xml:space="preserve">11.1 Distributions.</w:t>
      </w:r>
      <w:r>
        <w:t xml:space="preserve"> </w:t>
      </w:r>
      <w:r>
        <w:t xml:space="preserve">Distributions shall be made at the discretion of the Managing Member, subject to Section 605.0405 of the Act.</w:t>
      </w:r>
    </w:p>
    <w:p>
      <w:pPr>
        <w:spacing w:after="60"/>
      </w:pPr>
    </w:p>
    <w:p>
      <w:pPr>
        <w:keepNext w:val="false"/>
        <w:keepLines/>
        <w:spacing w:after="140" w:before="0" w:line="264"/>
        <w:jc w:val="both"/>
      </w:pPr>
      <w:r>
        <w:rPr>
          <w:b/>
          <w:bCs/>
        </w:rPr>
        <w:t xml:space="preserve">11.2 Compliance Hold.</w:t>
      </w:r>
      <w:r>
        <w:t xml:space="preserve"> </w:t>
      </w:r>
      <w:r>
        <w:t xml:space="preserve">No distribution shall be made to any Member while (a) any representation of that Member under Article IX is known to be untrue, (b) any screening result concerning that Member is unresolved, or (c) a distribution to that Member would be prohibited under the Sanctions and Export Laws. Amounts withheld shall be segregated and, where required, blocked and reported.</w:t>
      </w:r>
    </w:p>
    <w:p>
      <w:pPr>
        <w:spacing w:after="60"/>
      </w:pPr>
    </w:p>
    <w:p>
      <w:pPr>
        <w:keepNext w:val="false"/>
        <w:keepLines/>
        <w:spacing w:after="140" w:before="0" w:line="264"/>
        <w:jc w:val="both"/>
      </w:pPr>
      <w:r>
        <w:rPr>
          <w:b/>
          <w:bCs/>
        </w:rPr>
        <w:t xml:space="preserve">11.3 Tax Classification.</w:t>
      </w:r>
      <w:r>
        <w:t xml:space="preserve"> </w:t>
      </w:r>
      <w:r>
        <w:t xml:space="preserve">The Company shall be disregarded as an entity separate from its owner for federal income tax purposes under Treasury Regulations Section 301.7701-2(c)(2), unless the Member elects a different classification by written action.</w:t>
      </w:r>
    </w:p>
    <w:p>
      <w:pPr>
        <w:spacing w:after="60"/>
      </w:pPr>
    </w:p>
    <w:p>
      <w:pPr>
        <w:keepNext w:val="false"/>
        <w:keepLines/>
        <w:spacing w:after="140" w:before="0" w:line="264"/>
        <w:jc w:val="both"/>
      </w:pPr>
      <w:r>
        <w:rPr>
          <w:b/>
          <w:bCs/>
        </w:rPr>
        <w:t xml:space="preserve">11.4 Tax Distributions.</w:t>
      </w:r>
      <w:r>
        <w:t xml:space="preserve"> </w:t>
      </w:r>
      <w:r>
        <w:t xml:space="preserve">The Managing Member may cause the Company to distribute amounts sufficient to satisfy tax liabilities attributable to the income of the Company.</w:t>
      </w:r>
    </w:p>
    <w:p>
      <w:pPr>
        <w:spacing w:after="60"/>
      </w:pPr>
    </w:p>
    <w:p>
      <w:pPr>
        <w:pStyle w:val="Heading1"/>
        <w:keepNext/>
        <w:keepLines/>
        <w:pageBreakBefore/>
        <w:spacing w:after="280"/>
        <w:jc w:val="center"/>
      </w:pPr>
      <w:r>
        <w:t xml:space="preserve">ARTICLE XII — LIABILITY AND INDEMNIFICATION</w:t>
      </w:r>
    </w:p>
    <w:p>
      <w:pPr>
        <w:keepNext w:val="false"/>
        <w:keepLines/>
        <w:spacing w:after="140" w:before="0" w:line="264"/>
        <w:jc w:val="both"/>
      </w:pPr>
      <w:r>
        <w:rPr>
          <w:b/>
          <w:bCs/>
        </w:rPr>
        <w:t xml:space="preserve">12.1 Limited Liability.</w:t>
      </w:r>
      <w:r>
        <w:t xml:space="preserve"> </w:t>
      </w:r>
      <w:r>
        <w:t xml:space="preserve">In accordance with Section 605.0304 of the Act, no Member or manager of the Company is personally liable for any debt, obligation, or other liability of the Company solely by reason of being or acting as a Member or manager.</w:t>
      </w:r>
    </w:p>
    <w:p>
      <w:pPr>
        <w:spacing w:after="60"/>
      </w:pPr>
    </w:p>
    <w:p>
      <w:pPr>
        <w:keepNext w:val="false"/>
        <w:keepLines/>
        <w:spacing w:after="140" w:before="0" w:line="264"/>
        <w:jc w:val="both"/>
      </w:pPr>
      <w:r>
        <w:rPr>
          <w:b/>
          <w:bCs/>
        </w:rPr>
        <w:t xml:space="preserve">12.2 Indemnification.</w:t>
      </w:r>
      <w:r>
        <w:t xml:space="preserve"> </w:t>
      </w:r>
      <w:r>
        <w:t xml:space="preserve">The Company shall indemnify the Managing Member and any Successor Manager against liabilities incurred in that capacity, to the fullest extent permitted by the Act, except for liabilities arising from (a) a knowing violation of law, (b) intentional misconduct, (c) any act taken in violation of Article II or Article VI, or (d) the receipt of an improper personal benefit.</w:t>
      </w:r>
    </w:p>
    <w:p>
      <w:pPr>
        <w:spacing w:after="60"/>
      </w:pPr>
    </w:p>
    <w:p>
      <w:pPr>
        <w:keepNext w:val="false"/>
        <w:keepLines/>
        <w:spacing w:after="140" w:before="0" w:line="264"/>
        <w:jc w:val="both"/>
      </w:pPr>
      <w:r>
        <w:rPr>
          <w:b/>
          <w:bCs/>
        </w:rPr>
        <w:t xml:space="preserve">12.3 Insurance.</w:t>
      </w:r>
      <w:r>
        <w:t xml:space="preserve"> </w:t>
      </w:r>
      <w:r>
        <w:t xml:space="preserve">The Company shall maintain commercial general liability insurance, cargo insurance, and such other coverage as the Managing Member determines to be appropriate, and shall evaluate management liability coverage annually.</w:t>
      </w:r>
    </w:p>
    <w:p>
      <w:pPr>
        <w:spacing w:after="60"/>
      </w:pPr>
    </w:p>
    <w:p>
      <w:pPr>
        <w:pStyle w:val="Heading1"/>
        <w:keepNext/>
        <w:keepLines/>
        <w:pageBreakBefore/>
        <w:spacing w:after="280"/>
        <w:jc w:val="center"/>
      </w:pPr>
      <w:r>
        <w:t xml:space="preserve">ARTICLE XIII — DISSOLUTION</w:t>
      </w:r>
    </w:p>
    <w:p>
      <w:pPr>
        <w:keepNext w:val="false"/>
        <w:keepLines/>
        <w:spacing w:after="140" w:before="0" w:line="264"/>
        <w:jc w:val="both"/>
      </w:pPr>
      <w:r>
        <w:rPr>
          <w:b/>
          <w:bCs/>
        </w:rPr>
        <w:t xml:space="preserve">13.1 Events of Dissolution.</w:t>
      </w:r>
      <w:r>
        <w:t xml:space="preserve"> </w:t>
      </w:r>
      <w:r>
        <w:t xml:space="preserve">The Company shall be dissolved upon the written election of the Member, the entry of a decree of judicial dissolution, or the occurrence of any other event requiring dissolution under the Act.</w:t>
      </w:r>
    </w:p>
    <w:p>
      <w:pPr>
        <w:spacing w:after="60"/>
      </w:pPr>
    </w:p>
    <w:p>
      <w:pPr>
        <w:keepNext w:val="false"/>
        <w:keepLines/>
        <w:spacing w:after="140" w:before="0" w:line="264"/>
        <w:jc w:val="both"/>
      </w:pPr>
      <w:r>
        <w:rPr>
          <w:b/>
          <w:bCs/>
        </w:rPr>
        <w:t xml:space="preserve">13.2 Winding Up.</w:t>
      </w:r>
      <w:r>
        <w:t xml:space="preserve"> </w:t>
      </w:r>
      <w:r>
        <w:t xml:space="preserve">Upon dissolution, the Managing Member or the Successor Manager shall wind up the affairs of the Company and shall complete or lawfully cancel all pending export transactions; notify each financial institution, payment processor, carrier, and freight forwarder with which the Company does business, and the Bureau of Industry and Security; and preserve all records subject to Section 7.2 for the full retention period notwithstanding the dissolution.</w:t>
      </w:r>
    </w:p>
    <w:p>
      <w:pPr>
        <w:spacing w:after="60"/>
      </w:pPr>
    </w:p>
    <w:p>
      <w:pPr>
        <w:keepNext w:val="false"/>
        <w:keepLines/>
        <w:spacing w:after="140" w:before="0" w:line="264"/>
        <w:jc w:val="both"/>
      </w:pPr>
      <w:r>
        <w:rPr>
          <w:b/>
          <w:bCs/>
        </w:rPr>
        <w:t xml:space="preserve">13.3 Distribution of Assets.</w:t>
      </w:r>
      <w:r>
        <w:t xml:space="preserve"> </w:t>
      </w:r>
      <w:r>
        <w:t xml:space="preserve">The assets of the Company shall be applied first to the payment of creditors and then distributed to the Member, in accordance with the Act.</w:t>
      </w:r>
    </w:p>
    <w:p>
      <w:pPr>
        <w:spacing w:after="60"/>
      </w:pPr>
    </w:p>
    <w:p>
      <w:pPr>
        <w:pStyle w:val="Heading1"/>
        <w:keepNext/>
        <w:keepLines/>
        <w:pageBreakBefore/>
        <w:spacing w:after="280"/>
        <w:jc w:val="center"/>
      </w:pPr>
      <w:r>
        <w:t xml:space="preserve">ARTICLE XIV — MISCELLANEOUS</w:t>
      </w:r>
    </w:p>
    <w:p>
      <w:pPr>
        <w:keepNext w:val="false"/>
        <w:keepLines/>
        <w:spacing w:after="140" w:before="0" w:line="264"/>
        <w:jc w:val="both"/>
      </w:pPr>
      <w:r>
        <w:rPr>
          <w:b/>
          <w:bCs/>
        </w:rPr>
        <w:t xml:space="preserve">14.1 Governing Law.</w:t>
      </w:r>
      <w:r>
        <w:t xml:space="preserve"> </w:t>
      </w:r>
      <w:r>
        <w:t xml:space="preserve">This Agreement is governed by the laws of the State of Florida, without regard to its conflict of laws principles.</w:t>
      </w:r>
    </w:p>
    <w:p>
      <w:pPr>
        <w:spacing w:after="60"/>
      </w:pPr>
    </w:p>
    <w:p>
      <w:pPr>
        <w:keepNext w:val="false"/>
        <w:keepLines/>
        <w:spacing w:after="140" w:before="0" w:line="264"/>
        <w:jc w:val="both"/>
      </w:pPr>
      <w:r>
        <w:rPr>
          <w:b/>
          <w:bCs/>
        </w:rPr>
        <w:t xml:space="preserve">14.2 Amendment.</w:t>
      </w:r>
      <w:r>
        <w:t xml:space="preserve"> </w:t>
      </w:r>
      <w:r>
        <w:t xml:space="preserve">This Agreement may be amended only by a written instrument executed by the Member. Any amendment to Article II, VI, VII, VIII, or IX shall be reviewed by qualified counsel before execution and shall be disclosed to each financial institution at which the Company maintains an account.</w:t>
      </w:r>
    </w:p>
    <w:p>
      <w:pPr>
        <w:spacing w:after="60"/>
      </w:pPr>
    </w:p>
    <w:p>
      <w:pPr>
        <w:keepNext w:val="false"/>
        <w:keepLines/>
        <w:spacing w:after="140" w:before="0" w:line="264"/>
        <w:jc w:val="both"/>
      </w:pPr>
      <w:r>
        <w:rPr>
          <w:b/>
          <w:bCs/>
        </w:rPr>
        <w:t xml:space="preserve">14.3 Severability.</w:t>
      </w:r>
      <w:r>
        <w:t xml:space="preserve"> </w:t>
      </w:r>
      <w:r>
        <w:t xml:space="preserve">If any provision of this Agreement is held invalid or unenforceable, the remaining provisions shall continue in full force and effect.</w:t>
      </w:r>
    </w:p>
    <w:p>
      <w:pPr>
        <w:spacing w:after="60"/>
      </w:pPr>
    </w:p>
    <w:p>
      <w:pPr>
        <w:keepNext w:val="false"/>
        <w:keepLines/>
        <w:spacing w:after="140" w:before="0" w:line="264"/>
        <w:jc w:val="both"/>
      </w:pPr>
      <w:r>
        <w:rPr>
          <w:b/>
          <w:bCs/>
        </w:rPr>
        <w:t xml:space="preserve">14.4 Entire Agreement.</w:t>
      </w:r>
      <w:r>
        <w:t xml:space="preserve"> </w:t>
      </w:r>
      <w:r>
        <w:t xml:space="preserve">This Agreement, including its Exhibits, constitutes the entire operating agreement of the Company.</w:t>
      </w:r>
    </w:p>
    <w:p>
      <w:pPr>
        <w:spacing w:after="60"/>
      </w:pPr>
    </w:p>
    <w:p>
      <w:pPr>
        <w:keepNext w:val="false"/>
        <w:keepLines/>
        <w:spacing w:after="140" w:before="0" w:line="264"/>
        <w:jc w:val="both"/>
      </w:pPr>
      <w:r>
        <w:rPr>
          <w:b/>
          <w:bCs/>
        </w:rPr>
        <w:t xml:space="preserve">14.5 Production to Third Parties.</w:t>
      </w:r>
      <w:r>
        <w:t xml:space="preserve"> </w:t>
      </w:r>
      <w:r>
        <w:t xml:space="preserve">The Member authorizes the Company to furnish this Agreement, in whole or in part, to any financial institution, payment processor, carrier, freight forwarder, insurer, auditor, or governmental authority that requests it.</w:t>
      </w:r>
    </w:p>
    <w:p>
      <w:pPr>
        <w:spacing w:after="60"/>
      </w:pPr>
    </w:p>
    <w:p>
      <w:pPr>
        <w:keepNext w:val="false"/>
        <w:keepLines/>
        <w:spacing w:after="140" w:before="0" w:line="264"/>
        <w:jc w:val="both"/>
      </w:pPr>
      <w:r>
        <w:rPr>
          <w:b/>
          <w:bCs/>
        </w:rPr>
        <w:t xml:space="preserve">14.6 Headings.</w:t>
      </w:r>
      <w:r>
        <w:t xml:space="preserve"> </w:t>
      </w:r>
      <w:r>
        <w:t xml:space="preserve">Headings are for convenience of reference only and do not affect the interpretation of this Agreement.</w:t>
      </w:r>
    </w:p>
    <w:p>
      <w:pPr>
        <w:spacing w:after="60"/>
      </w:pPr>
    </w:p>
    <w:p>
      <w:pPr>
        <w:keepNext w:val="false"/>
        <w:keepLines/>
        <w:spacing w:after="140" w:before="0" w:line="264"/>
        <w:jc w:val="both"/>
      </w:pPr>
      <w:r>
        <w:rPr>
          <w:b/>
          <w:bCs/>
        </w:rPr>
        <w:t xml:space="preserve">14.7 Counterparts; Electronic Signatures.</w:t>
      </w:r>
      <w:r>
        <w:t xml:space="preserve"> </w:t>
      </w:r>
      <w:r>
        <w:t xml:space="preserve">This Agreement and its Exhibits may be executed in counterparts and by electronic signature, each of which shall have the same effect as an original.</w:t>
      </w:r>
    </w:p>
    <w:p>
      <w:pPr>
        <w:spacing w:after="60"/>
      </w:pPr>
    </w:p>
    <w:p>
      <w:pPr>
        <w:spacing w:before="360"/>
        <w:jc w:val="center"/>
      </w:pPr>
      <w:r>
        <w:rPr>
          <w:i/>
          <w:iCs/>
        </w:rPr>
        <w:t xml:space="preserve">[Signature page follows.]</w:t>
      </w:r>
    </w:p>
    <w:p>
      <w:pPr>
        <w:pStyle w:val="Heading1"/>
        <w:keepNext/>
        <w:pageBreakBefore/>
        <w:spacing w:after="280"/>
        <w:jc w:val="center"/>
      </w:pPr>
      <w:r>
        <w:t xml:space="preserve">SIGNATURE PAGE</w:t>
      </w:r>
    </w:p>
    <w:p>
      <w:pPr>
        <w:keepNext/>
        <w:keepLines/>
        <w:spacing w:after="140" w:before="0" w:line="264"/>
        <w:jc w:val="both"/>
      </w:pPr>
      <w:r>
        <w:t xml:space="preserve">IN WITNESS WHEREOF, the Member has executed this Operating Agreement of Vivara Provisions LLC effective as of the Effective Date.</w:t>
      </w:r>
    </w:p>
    <w:p>
      <w:pPr>
        <w:keepNext/>
        <w:spacing w:after="0" w:before="360"/>
      </w:pPr>
      <w:r>
        <w:rPr>
          <w:b/>
          <w:bCs/>
        </w:rPr>
        <w:t xml:space="preserve">MEMBER:</w:t>
      </w:r>
    </w:p>
    <w:p>
      <w:pPr>
        <w:keepNext/>
        <w:keepLines/>
        <w:pBdr>
          <w:bottom w:val="single" w:color="000000" w:sz="6" w:space="1"/>
        </w:pBdr>
        <w:spacing w:after="40" w:before="520"/>
        <w:ind w:right="4680"/>
      </w:pPr>
    </w:p>
    <w:p>
      <w:pPr>
        <w:keepNext/>
        <w:keepLines/>
        <w:spacing w:after="0" w:before="0" w:line="264"/>
        <w:jc w:val="left"/>
      </w:pPr>
      <w:r>
        <w:rPr>
          <w:highlight w:val="yellow"/>
        </w:rPr>
        <w:t xml:space="preserve">[MEMBER FULL LEGAL NAME]</w:t>
      </w:r>
    </w:p>
    <w:p>
      <w:pPr>
        <w:keepNext/>
        <w:keepLines/>
        <w:spacing w:after="0" w:before="0" w:line="264"/>
        <w:jc w:val="left"/>
      </w:pPr>
      <w:r>
        <w:t xml:space="preserve">Sole Member and Managing Member</w:t>
      </w:r>
    </w:p>
    <w:p>
      <w:pPr>
        <w:keepNext w:val="false"/>
        <w:keepLines/>
        <w:spacing w:after="0" w:before="0" w:line="264"/>
        <w:jc w:val="left"/>
      </w:pPr>
      <w:r>
        <w:t xml:space="preserve">Date: </w:t>
      </w:r>
      <w:r>
        <w:rPr>
          <w:highlight w:val="yellow"/>
        </w:rPr>
        <w:t xml:space="preserve">[DATE]</w:t>
      </w:r>
    </w:p>
    <w:p>
      <w:pPr>
        <w:pStyle w:val="Heading1"/>
        <w:keepNext/>
        <w:pageBreakBefore/>
        <w:spacing w:after="280"/>
        <w:jc w:val="center"/>
      </w:pPr>
      <w:r>
        <w:t xml:space="preserve">EXHIBIT A — MEMBER SCHEDULE</w:t>
      </w:r>
    </w:p>
    <w:p>
      <w:pPr>
        <w:keepNext/>
        <w:keepLines/>
        <w:spacing w:after="140" w:before="0" w:line="264"/>
        <w:jc w:val="left"/>
      </w:pPr>
      <w:r>
        <w:t xml:space="preserve">Record of the membership interest of Vivara Provisions LLC under Section 3.1, Section 3.5, and Article IV of the Operating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0"/>
        <w:gridCol w:w="2480"/>
        <w:gridCol w:w="1480"/>
        <w:gridCol w:w="1680"/>
        <w:gridCol w:w="1480"/>
      </w:tblGrid>
      <w:tr>
        <w:trPr>
          <w:cantSplit/>
          <w:tblHeader/>
        </w:trPr>
        <w:tc>
          <w:tcPr>
            <w:tcW w:type="dxa" w:w="2240"/>
            <w:tcBorders>
              <w:top w:val="single" w:color="808080" w:sz="4"/>
              <w:left w:val="single" w:color="808080" w:sz="4"/>
              <w:bottom w:val="single" w:color="808080" w:sz="4"/>
              <w:right w:val="single" w:color="808080" w:sz="4"/>
            </w:tcBorders>
            <w:shd w:fill="EDEDED" w:color="auto" w:val="clear"/>
            <w:tcMar>
              <w:top w:type="dxa" w:w="70"/>
              <w:left w:type="dxa" w:w="110"/>
              <w:bottom w:type="dxa" w:w="70"/>
              <w:right w:type="dxa" w:w="110"/>
            </w:tcMar>
          </w:tcPr>
          <w:p>
            <w:pPr>
              <w:keepNext/>
              <w:keepLines/>
              <w:spacing w:after="0" w:line="252"/>
            </w:pPr>
            <w:r>
              <w:rPr>
                <w:b/>
                <w:bCs/>
                <w:sz w:val="21"/>
                <w:szCs w:val="21"/>
              </w:rPr>
              <w:t xml:space="preserve">Member</w:t>
            </w:r>
          </w:p>
        </w:tc>
        <w:tc>
          <w:tcPr>
            <w:tcW w:type="dxa" w:w="2480"/>
            <w:tcBorders>
              <w:top w:val="single" w:color="808080" w:sz="4"/>
              <w:left w:val="single" w:color="808080" w:sz="4"/>
              <w:bottom w:val="single" w:color="808080" w:sz="4"/>
              <w:right w:val="single" w:color="808080" w:sz="4"/>
            </w:tcBorders>
            <w:shd w:fill="EDEDED" w:color="auto" w:val="clear"/>
            <w:tcMar>
              <w:top w:type="dxa" w:w="70"/>
              <w:left w:type="dxa" w:w="110"/>
              <w:bottom w:type="dxa" w:w="70"/>
              <w:right w:type="dxa" w:w="110"/>
            </w:tcMar>
          </w:tcPr>
          <w:p>
            <w:pPr>
              <w:keepNext/>
              <w:keepLines/>
              <w:spacing w:after="0" w:line="252"/>
            </w:pPr>
            <w:r>
              <w:rPr>
                <w:b/>
                <w:bCs/>
                <w:sz w:val="21"/>
                <w:szCs w:val="21"/>
              </w:rPr>
              <w:t xml:space="preserve">Address</w:t>
            </w:r>
          </w:p>
        </w:tc>
        <w:tc>
          <w:tcPr>
            <w:tcW w:type="dxa" w:w="1480"/>
            <w:tcBorders>
              <w:top w:val="single" w:color="808080" w:sz="4"/>
              <w:left w:val="single" w:color="808080" w:sz="4"/>
              <w:bottom w:val="single" w:color="808080" w:sz="4"/>
              <w:right w:val="single" w:color="808080" w:sz="4"/>
            </w:tcBorders>
            <w:shd w:fill="EDEDED" w:color="auto" w:val="clear"/>
            <w:tcMar>
              <w:top w:type="dxa" w:w="70"/>
              <w:left w:type="dxa" w:w="110"/>
              <w:bottom w:type="dxa" w:w="70"/>
              <w:right w:type="dxa" w:w="110"/>
            </w:tcMar>
          </w:tcPr>
          <w:p>
            <w:pPr>
              <w:keepNext/>
              <w:keepLines/>
              <w:spacing w:after="0" w:line="252"/>
            </w:pPr>
            <w:r>
              <w:rPr>
                <w:b/>
                <w:bCs/>
                <w:sz w:val="21"/>
                <w:szCs w:val="21"/>
              </w:rPr>
              <w:t xml:space="preserve">Membership Interest</w:t>
            </w:r>
          </w:p>
        </w:tc>
        <w:tc>
          <w:tcPr>
            <w:tcW w:type="dxa" w:w="1680"/>
            <w:tcBorders>
              <w:top w:val="single" w:color="808080" w:sz="4"/>
              <w:left w:val="single" w:color="808080" w:sz="4"/>
              <w:bottom w:val="single" w:color="808080" w:sz="4"/>
              <w:right w:val="single" w:color="808080" w:sz="4"/>
            </w:tcBorders>
            <w:shd w:fill="EDEDED" w:color="auto" w:val="clear"/>
            <w:tcMar>
              <w:top w:type="dxa" w:w="70"/>
              <w:left w:type="dxa" w:w="110"/>
              <w:bottom w:type="dxa" w:w="70"/>
              <w:right w:type="dxa" w:w="110"/>
            </w:tcMar>
          </w:tcPr>
          <w:p>
            <w:pPr>
              <w:keepNext/>
              <w:keepLines/>
              <w:spacing w:after="0" w:line="252"/>
            </w:pPr>
            <w:r>
              <w:rPr>
                <w:b/>
                <w:bCs/>
                <w:sz w:val="21"/>
                <w:szCs w:val="21"/>
              </w:rPr>
              <w:t xml:space="preserve">Capital Contribution</w:t>
            </w:r>
          </w:p>
        </w:tc>
        <w:tc>
          <w:tcPr>
            <w:tcW w:type="dxa" w:w="1480"/>
            <w:tcBorders>
              <w:top w:val="single" w:color="808080" w:sz="4"/>
              <w:left w:val="single" w:color="808080" w:sz="4"/>
              <w:bottom w:val="single" w:color="808080" w:sz="4"/>
              <w:right w:val="single" w:color="808080" w:sz="4"/>
            </w:tcBorders>
            <w:shd w:fill="EDEDED" w:color="auto" w:val="clear"/>
            <w:tcMar>
              <w:top w:type="dxa" w:w="70"/>
              <w:left w:type="dxa" w:w="110"/>
              <w:bottom w:type="dxa" w:w="70"/>
              <w:right w:type="dxa" w:w="110"/>
            </w:tcMar>
          </w:tcPr>
          <w:p>
            <w:pPr>
              <w:keepNext/>
              <w:keepLines/>
              <w:spacing w:after="0" w:line="252"/>
            </w:pPr>
            <w:r>
              <w:rPr>
                <w:b/>
                <w:bCs/>
                <w:sz w:val="21"/>
                <w:szCs w:val="21"/>
              </w:rPr>
              <w:t xml:space="preserve">Date Admitted</w:t>
            </w:r>
          </w:p>
        </w:tc>
      </w:tr>
      <w:tr>
        <w:trPr>
          <w:cantSplit/>
          <w:tblHeader w:val="false"/>
        </w:trPr>
        <w:tc>
          <w:tcPr>
            <w:tcW w:type="dxa" w:w="2240"/>
            <w:tcBorders>
              <w:top w:val="single" w:color="808080" w:sz="4"/>
              <w:left w:val="single" w:color="808080" w:sz="4"/>
              <w:bottom w:val="single" w:color="808080" w:sz="4"/>
              <w:right w:val="single" w:color="808080" w:sz="4"/>
            </w:tcBorders>
            <w:tcMar>
              <w:top w:type="dxa" w:w="70"/>
              <w:left w:type="dxa" w:w="110"/>
              <w:bottom w:type="dxa" w:w="70"/>
              <w:right w:type="dxa" w:w="110"/>
            </w:tcMar>
          </w:tcPr>
          <w:p>
            <w:pPr>
              <w:keepNext w:val="false"/>
              <w:keepLines/>
              <w:spacing w:after="0" w:line="252"/>
            </w:pPr>
            <w:r>
              <w:rPr>
                <w:sz w:val="21"/>
                <w:szCs w:val="21"/>
                <w:highlight w:val="yellow"/>
              </w:rPr>
              <w:t xml:space="preserve">[MEMBER FULL LEGAL NAME]</w:t>
            </w:r>
          </w:p>
        </w:tc>
        <w:tc>
          <w:tcPr>
            <w:tcW w:type="dxa" w:w="2480"/>
            <w:tcBorders>
              <w:top w:val="single" w:color="808080" w:sz="4"/>
              <w:left w:val="single" w:color="808080" w:sz="4"/>
              <w:bottom w:val="single" w:color="808080" w:sz="4"/>
              <w:right w:val="single" w:color="808080" w:sz="4"/>
            </w:tcBorders>
            <w:tcMar>
              <w:top w:type="dxa" w:w="70"/>
              <w:left w:type="dxa" w:w="110"/>
              <w:bottom w:type="dxa" w:w="70"/>
              <w:right w:type="dxa" w:w="110"/>
            </w:tcMar>
          </w:tcPr>
          <w:p>
            <w:pPr>
              <w:keepNext w:val="false"/>
              <w:keepLines/>
              <w:spacing w:after="0" w:line="252"/>
            </w:pPr>
            <w:r>
              <w:rPr>
                <w:sz w:val="21"/>
                <w:szCs w:val="21"/>
                <w:highlight w:val="yellow"/>
              </w:rPr>
              <w:t xml:space="preserve">[ADDRESS]</w:t>
            </w:r>
          </w:p>
        </w:tc>
        <w:tc>
          <w:tcPr>
            <w:tcW w:type="dxa" w:w="1480"/>
            <w:tcBorders>
              <w:top w:val="single" w:color="808080" w:sz="4"/>
              <w:left w:val="single" w:color="808080" w:sz="4"/>
              <w:bottom w:val="single" w:color="808080" w:sz="4"/>
              <w:right w:val="single" w:color="808080" w:sz="4"/>
            </w:tcBorders>
            <w:tcMar>
              <w:top w:type="dxa" w:w="70"/>
              <w:left w:type="dxa" w:w="110"/>
              <w:bottom w:type="dxa" w:w="70"/>
              <w:right w:type="dxa" w:w="110"/>
            </w:tcMar>
          </w:tcPr>
          <w:p>
            <w:pPr>
              <w:keepNext w:val="false"/>
              <w:keepLines/>
              <w:spacing w:after="0" w:line="252"/>
            </w:pPr>
            <w:r>
              <w:rPr>
                <w:sz w:val="21"/>
                <w:szCs w:val="21"/>
              </w:rPr>
              <w:t xml:space="preserve">100%</w:t>
            </w:r>
          </w:p>
        </w:tc>
        <w:tc>
          <w:tcPr>
            <w:tcW w:type="dxa" w:w="1680"/>
            <w:tcBorders>
              <w:top w:val="single" w:color="808080" w:sz="4"/>
              <w:left w:val="single" w:color="808080" w:sz="4"/>
              <w:bottom w:val="single" w:color="808080" w:sz="4"/>
              <w:right w:val="single" w:color="808080" w:sz="4"/>
            </w:tcBorders>
            <w:tcMar>
              <w:top w:type="dxa" w:w="70"/>
              <w:left w:type="dxa" w:w="110"/>
              <w:bottom w:type="dxa" w:w="70"/>
              <w:right w:type="dxa" w:w="110"/>
            </w:tcMar>
          </w:tcPr>
          <w:p>
            <w:pPr>
              <w:keepNext w:val="false"/>
              <w:keepLines/>
              <w:spacing w:after="0" w:line="252"/>
            </w:pPr>
            <w:r>
              <w:rPr>
                <w:sz w:val="21"/>
                <w:szCs w:val="21"/>
              </w:rPr>
              <w:t xml:space="preserve">$</w:t>
            </w:r>
            <w:r>
              <w:rPr>
                <w:sz w:val="21"/>
                <w:szCs w:val="21"/>
                <w:highlight w:val="yellow"/>
              </w:rPr>
              <w:t xml:space="preserve">[AMOUNT]</w:t>
            </w:r>
          </w:p>
        </w:tc>
        <w:tc>
          <w:tcPr>
            <w:tcW w:type="dxa" w:w="1480"/>
            <w:tcBorders>
              <w:top w:val="single" w:color="808080" w:sz="4"/>
              <w:left w:val="single" w:color="808080" w:sz="4"/>
              <w:bottom w:val="single" w:color="808080" w:sz="4"/>
              <w:right w:val="single" w:color="808080" w:sz="4"/>
            </w:tcBorders>
            <w:tcMar>
              <w:top w:type="dxa" w:w="70"/>
              <w:left w:type="dxa" w:w="110"/>
              <w:bottom w:type="dxa" w:w="70"/>
              <w:right w:type="dxa" w:w="110"/>
            </w:tcMar>
          </w:tcPr>
          <w:p>
            <w:pPr>
              <w:keepNext w:val="false"/>
              <w:keepLines/>
              <w:spacing w:after="0" w:line="252"/>
            </w:pPr>
            <w:r>
              <w:rPr>
                <w:sz w:val="21"/>
                <w:szCs w:val="21"/>
                <w:highlight w:val="yellow"/>
              </w:rPr>
              <w:t xml:space="preserve">[DATE]</w:t>
            </w:r>
          </w:p>
        </w:tc>
      </w:tr>
    </w:tbl>
    <w:p>
      <w:pPr>
        <w:pStyle w:val="Heading1"/>
        <w:keepNext/>
        <w:pageBreakBefore/>
        <w:spacing w:after="280"/>
        <w:jc w:val="center"/>
      </w:pPr>
      <w:r>
        <w:t xml:space="preserve">EXHIBIT B — CERTIFICATE OF AUTHORITY</w:t>
      </w:r>
    </w:p>
    <w:p>
      <w:pPr>
        <w:keepNext/>
        <w:keepLines/>
        <w:spacing w:after="140" w:before="0" w:line="264"/>
        <w:jc w:val="left"/>
      </w:pPr>
      <w:r>
        <w:t xml:space="preserve">The undersigned, being the sole Member and the Managing Member of Vivara Provisions LLC, a Florida limited liability company (the “Company”), certifies that the person named below is authorized to act on behalf of the Company as indicated, effective as of </w:t>
      </w:r>
      <w:r>
        <w:rPr>
          <w:highlight w:val="yellow"/>
        </w:rPr>
        <w:t xml:space="preserve">[DATE]</w:t>
      </w:r>
      <w:r>
        <w:t xml:space="preserve"> and until revoked in writing.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60"/>
        <w:gridCol w:w="5400"/>
      </w:tblGrid>
      <w:tr>
        <w:trPr>
          <w:cantSplit/>
          <w:tblHeader/>
        </w:trPr>
        <w:tc>
          <w:tcPr>
            <w:tcW w:type="dxa" w:w="2200"/>
            <w:tcBorders>
              <w:top w:val="single" w:color="808080" w:sz="4"/>
              <w:left w:val="single" w:color="808080" w:sz="4"/>
              <w:bottom w:val="single" w:color="808080" w:sz="4"/>
              <w:right w:val="single" w:color="808080" w:sz="4"/>
            </w:tcBorders>
            <w:shd w:fill="EDEDED" w:color="auto" w:val="clear"/>
            <w:tcMar>
              <w:top w:type="dxa" w:w="70"/>
              <w:left w:type="dxa" w:w="110"/>
              <w:bottom w:type="dxa" w:w="70"/>
              <w:right w:type="dxa" w:w="110"/>
            </w:tcMar>
          </w:tcPr>
          <w:p>
            <w:pPr>
              <w:keepNext/>
              <w:keepLines/>
              <w:spacing w:after="0" w:line="252"/>
            </w:pPr>
            <w:r>
              <w:rPr>
                <w:b/>
                <w:bCs/>
                <w:sz w:val="21"/>
                <w:szCs w:val="21"/>
              </w:rPr>
              <w:t xml:space="preserve">Name</w:t>
            </w:r>
          </w:p>
        </w:tc>
        <w:tc>
          <w:tcPr>
            <w:tcW w:type="dxa" w:w="1760"/>
            <w:tcBorders>
              <w:top w:val="single" w:color="808080" w:sz="4"/>
              <w:left w:val="single" w:color="808080" w:sz="4"/>
              <w:bottom w:val="single" w:color="808080" w:sz="4"/>
              <w:right w:val="single" w:color="808080" w:sz="4"/>
            </w:tcBorders>
            <w:shd w:fill="EDEDED" w:color="auto" w:val="clear"/>
            <w:tcMar>
              <w:top w:type="dxa" w:w="70"/>
              <w:left w:type="dxa" w:w="110"/>
              <w:bottom w:type="dxa" w:w="70"/>
              <w:right w:type="dxa" w:w="110"/>
            </w:tcMar>
          </w:tcPr>
          <w:p>
            <w:pPr>
              <w:keepNext/>
              <w:keepLines/>
              <w:spacing w:after="0" w:line="252"/>
            </w:pPr>
            <w:r>
              <w:rPr>
                <w:b/>
                <w:bCs/>
                <w:sz w:val="21"/>
                <w:szCs w:val="21"/>
              </w:rPr>
              <w:t xml:space="preserve">Title</w:t>
            </w:r>
          </w:p>
        </w:tc>
        <w:tc>
          <w:tcPr>
            <w:tcW w:type="dxa" w:w="5400"/>
            <w:tcBorders>
              <w:top w:val="single" w:color="808080" w:sz="4"/>
              <w:left w:val="single" w:color="808080" w:sz="4"/>
              <w:bottom w:val="single" w:color="808080" w:sz="4"/>
              <w:right w:val="single" w:color="808080" w:sz="4"/>
            </w:tcBorders>
            <w:shd w:fill="EDEDED" w:color="auto" w:val="clear"/>
            <w:tcMar>
              <w:top w:type="dxa" w:w="70"/>
              <w:left w:type="dxa" w:w="110"/>
              <w:bottom w:type="dxa" w:w="70"/>
              <w:right w:type="dxa" w:w="110"/>
            </w:tcMar>
          </w:tcPr>
          <w:p>
            <w:pPr>
              <w:keepNext/>
              <w:keepLines/>
              <w:spacing w:after="0" w:line="252"/>
            </w:pPr>
            <w:r>
              <w:rPr>
                <w:b/>
                <w:bCs/>
                <w:sz w:val="21"/>
                <w:szCs w:val="21"/>
              </w:rPr>
              <w:t xml:space="preserve">Authorized to</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keepNext w:val="false"/>
              <w:keepLines/>
              <w:spacing w:after="0" w:line="252"/>
            </w:pPr>
            <w:r>
              <w:rPr>
                <w:sz w:val="21"/>
                <w:szCs w:val="21"/>
                <w:highlight w:val="yellow"/>
              </w:rPr>
              <w:t xml:space="preserve">[NAME]</w:t>
            </w:r>
          </w:p>
        </w:tc>
        <w:tc>
          <w:tcPr>
            <w:tcW w:type="dxa" w:w="1760"/>
            <w:tcBorders>
              <w:top w:val="single" w:color="808080" w:sz="4"/>
              <w:left w:val="single" w:color="808080" w:sz="4"/>
              <w:bottom w:val="single" w:color="808080" w:sz="4"/>
              <w:right w:val="single" w:color="808080" w:sz="4"/>
            </w:tcBorders>
            <w:tcMar>
              <w:top w:type="dxa" w:w="70"/>
              <w:left w:type="dxa" w:w="110"/>
              <w:bottom w:type="dxa" w:w="70"/>
              <w:right w:type="dxa" w:w="110"/>
            </w:tcMar>
          </w:tcPr>
          <w:p>
            <w:pPr>
              <w:keepNext w:val="false"/>
              <w:keepLines/>
              <w:spacing w:after="0" w:line="252"/>
            </w:pPr>
            <w:r>
              <w:rPr>
                <w:sz w:val="21"/>
                <w:szCs w:val="21"/>
              </w:rPr>
              <w:t xml:space="preserve">Managing Member</w:t>
            </w:r>
          </w:p>
        </w:tc>
        <w:tc>
          <w:tcPr>
            <w:tcW w:type="dxa" w:w="54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keepNext w:val="false"/>
              <w:keepLines/>
              <w:spacing w:after="0" w:line="252"/>
            </w:pPr>
            <w:r>
              <w:rPr>
                <w:sz w:val="21"/>
                <w:szCs w:val="21"/>
              </w:rPr>
              <w:t xml:space="preserve">Open, operate, and close financial accounts; borrow and pledge Company assets; execute contracts; execute export documentation, including Electronic Export Information filings; appoint freight forwarders as authorized agents under 15 C.F.R. Part 30; hire and terminate personnel; and purchase and sell inventory.</w:t>
            </w:r>
          </w:p>
        </w:tc>
      </w:tr>
    </w:tbl>
    <w:p>
      <w:pPr>
        <w:keepNext/>
        <w:keepLines/>
        <w:pBdr>
          <w:bottom w:val="single" w:color="000000" w:sz="6" w:space="1"/>
        </w:pBdr>
        <w:spacing w:after="40" w:before="520"/>
        <w:ind w:right="4680"/>
      </w:pPr>
    </w:p>
    <w:p>
      <w:pPr>
        <w:keepNext/>
        <w:keepLines/>
        <w:spacing w:after="0" w:before="0" w:line="264"/>
        <w:jc w:val="left"/>
      </w:pPr>
      <w:r>
        <w:rPr>
          <w:highlight w:val="yellow"/>
        </w:rPr>
        <w:t xml:space="preserve">[NAME]</w:t>
      </w:r>
      <w:r>
        <w:t xml:space="preserve">, Managing Member</w:t>
      </w:r>
    </w:p>
    <w:p>
      <w:pPr>
        <w:keepNext/>
        <w:keepLines/>
        <w:spacing w:after="0" w:before="0" w:line="264"/>
        <w:jc w:val="left"/>
      </w:pPr>
      <w:r>
        <w:t xml:space="preserve">Vivara Provisions LLC</w:t>
      </w:r>
    </w:p>
    <w:p>
      <w:pPr>
        <w:keepNext w:val="false"/>
        <w:keepLines/>
        <w:spacing w:after="140" w:before="0" w:line="264"/>
        <w:jc w:val="left"/>
      </w:pPr>
      <w:r>
        <w:t xml:space="preserve">Date: </w:t>
      </w:r>
      <w:r>
        <w:rPr>
          <w:highlight w:val="yellow"/>
        </w:rPr>
        <w:t xml:space="preserve">[DATE]</w:t>
      </w:r>
    </w:p>
    <w:p>
      <w:pPr>
        <w:pStyle w:val="Heading1"/>
        <w:keepNext/>
        <w:pageBreakBefore/>
        <w:spacing w:after="280"/>
        <w:jc w:val="center"/>
      </w:pPr>
      <w:r>
        <w:t xml:space="preserve">EXHIBIT C — SUCCESSOR MANAGER DESIGNATION</w:t>
      </w:r>
    </w:p>
    <w:p>
      <w:pPr>
        <w:keepNext/>
        <w:keepLines/>
        <w:spacing w:after="140" w:before="0" w:line="264"/>
        <w:jc w:val="left"/>
      </w:pPr>
      <w:r>
        <w:t xml:space="preserve">Pursuant to Article X of the Operating Agreement of Vivara Provisions LLC, the Member designates the following persons. Each designee has been screened in accordance with Section 10.3.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700"/>
        <w:gridCol w:w="2240"/>
        <w:gridCol w:w="2060"/>
        <w:gridCol w:w="1800"/>
      </w:tblGrid>
      <w:tr>
        <w:trPr>
          <w:cantSplit/>
          <w:tblHeader/>
        </w:trPr>
        <w:tc>
          <w:tcPr>
            <w:tcW w:type="dxa" w:w="1560"/>
            <w:tcBorders>
              <w:top w:val="single" w:color="808080" w:sz="4"/>
              <w:left w:val="single" w:color="808080" w:sz="4"/>
              <w:bottom w:val="single" w:color="808080" w:sz="4"/>
              <w:right w:val="single" w:color="808080" w:sz="4"/>
            </w:tcBorders>
            <w:shd w:fill="EDEDED" w:color="auto" w:val="clear"/>
            <w:tcMar>
              <w:top w:type="dxa" w:w="70"/>
              <w:left w:type="dxa" w:w="110"/>
              <w:bottom w:type="dxa" w:w="70"/>
              <w:right w:type="dxa" w:w="110"/>
            </w:tcMar>
          </w:tcPr>
          <w:p>
            <w:pPr>
              <w:keepNext/>
              <w:keepLines/>
              <w:spacing w:after="0" w:line="252"/>
            </w:pPr>
            <w:r>
              <w:rPr>
                <w:b/>
                <w:bCs/>
                <w:sz w:val="21"/>
                <w:szCs w:val="21"/>
              </w:rPr>
              <w:t xml:space="preserve">Designation</w:t>
            </w:r>
          </w:p>
        </w:tc>
        <w:tc>
          <w:tcPr>
            <w:tcW w:type="dxa" w:w="1700"/>
            <w:tcBorders>
              <w:top w:val="single" w:color="808080" w:sz="4"/>
              <w:left w:val="single" w:color="808080" w:sz="4"/>
              <w:bottom w:val="single" w:color="808080" w:sz="4"/>
              <w:right w:val="single" w:color="808080" w:sz="4"/>
            </w:tcBorders>
            <w:shd w:fill="EDEDED" w:color="auto" w:val="clear"/>
            <w:tcMar>
              <w:top w:type="dxa" w:w="70"/>
              <w:left w:type="dxa" w:w="110"/>
              <w:bottom w:type="dxa" w:w="70"/>
              <w:right w:type="dxa" w:w="110"/>
            </w:tcMar>
          </w:tcPr>
          <w:p>
            <w:pPr>
              <w:keepNext/>
              <w:keepLines/>
              <w:spacing w:after="0" w:line="252"/>
            </w:pPr>
            <w:r>
              <w:rPr>
                <w:b/>
                <w:bCs/>
                <w:sz w:val="21"/>
                <w:szCs w:val="21"/>
              </w:rPr>
              <w:t xml:space="preserve">Name</w:t>
            </w:r>
          </w:p>
        </w:tc>
        <w:tc>
          <w:tcPr>
            <w:tcW w:type="dxa" w:w="2240"/>
            <w:tcBorders>
              <w:top w:val="single" w:color="808080" w:sz="4"/>
              <w:left w:val="single" w:color="808080" w:sz="4"/>
              <w:bottom w:val="single" w:color="808080" w:sz="4"/>
              <w:right w:val="single" w:color="808080" w:sz="4"/>
            </w:tcBorders>
            <w:shd w:fill="EDEDED" w:color="auto" w:val="clear"/>
            <w:tcMar>
              <w:top w:type="dxa" w:w="70"/>
              <w:left w:type="dxa" w:w="110"/>
              <w:bottom w:type="dxa" w:w="70"/>
              <w:right w:type="dxa" w:w="110"/>
            </w:tcMar>
          </w:tcPr>
          <w:p>
            <w:pPr>
              <w:keepNext/>
              <w:keepLines/>
              <w:spacing w:after="0" w:line="252"/>
            </w:pPr>
            <w:r>
              <w:rPr>
                <w:b/>
                <w:bCs/>
                <w:sz w:val="21"/>
                <w:szCs w:val="21"/>
              </w:rPr>
              <w:t xml:space="preserve">Address</w:t>
            </w:r>
          </w:p>
        </w:tc>
        <w:tc>
          <w:tcPr>
            <w:tcW w:type="dxa" w:w="2060"/>
            <w:tcBorders>
              <w:top w:val="single" w:color="808080" w:sz="4"/>
              <w:left w:val="single" w:color="808080" w:sz="4"/>
              <w:bottom w:val="single" w:color="808080" w:sz="4"/>
              <w:right w:val="single" w:color="808080" w:sz="4"/>
            </w:tcBorders>
            <w:shd w:fill="EDEDED" w:color="auto" w:val="clear"/>
            <w:tcMar>
              <w:top w:type="dxa" w:w="70"/>
              <w:left w:type="dxa" w:w="110"/>
              <w:bottom w:type="dxa" w:w="70"/>
              <w:right w:type="dxa" w:w="110"/>
            </w:tcMar>
          </w:tcPr>
          <w:p>
            <w:pPr>
              <w:keepNext/>
              <w:keepLines/>
              <w:spacing w:after="0" w:line="252"/>
            </w:pPr>
            <w:r>
              <w:rPr>
                <w:b/>
                <w:bCs/>
                <w:sz w:val="21"/>
                <w:szCs w:val="21"/>
              </w:rPr>
              <w:t xml:space="preserve">Relationship</w:t>
            </w:r>
          </w:p>
        </w:tc>
        <w:tc>
          <w:tcPr>
            <w:tcW w:type="dxa" w:w="1800"/>
            <w:tcBorders>
              <w:top w:val="single" w:color="808080" w:sz="4"/>
              <w:left w:val="single" w:color="808080" w:sz="4"/>
              <w:bottom w:val="single" w:color="808080" w:sz="4"/>
              <w:right w:val="single" w:color="808080" w:sz="4"/>
            </w:tcBorders>
            <w:shd w:fill="EDEDED" w:color="auto" w:val="clear"/>
            <w:tcMar>
              <w:top w:type="dxa" w:w="70"/>
              <w:left w:type="dxa" w:w="110"/>
              <w:bottom w:type="dxa" w:w="70"/>
              <w:right w:type="dxa" w:w="110"/>
            </w:tcMar>
          </w:tcPr>
          <w:p>
            <w:pPr>
              <w:keepNext/>
              <w:keepLines/>
              <w:spacing w:after="0" w:line="252"/>
            </w:pPr>
            <w:r>
              <w:rPr>
                <w:b/>
                <w:bCs/>
                <w:sz w:val="21"/>
                <w:szCs w:val="21"/>
              </w:rPr>
              <w:t xml:space="preserve">Date Screened</w:t>
            </w:r>
          </w:p>
        </w:tc>
      </w:tr>
      <w:tr>
        <w:trPr>
          <w:cantSplit/>
          <w:tblHeader w:val="false"/>
        </w:trPr>
        <w:tc>
          <w:tcPr>
            <w:tcW w:type="dxa" w:w="1560"/>
            <w:tcBorders>
              <w:top w:val="single" w:color="808080" w:sz="4"/>
              <w:left w:val="single" w:color="808080" w:sz="4"/>
              <w:bottom w:val="single" w:color="808080" w:sz="4"/>
              <w:right w:val="single" w:color="808080" w:sz="4"/>
            </w:tcBorders>
            <w:tcMar>
              <w:top w:type="dxa" w:w="70"/>
              <w:left w:type="dxa" w:w="110"/>
              <w:bottom w:type="dxa" w:w="70"/>
              <w:right w:type="dxa" w:w="110"/>
            </w:tcMar>
          </w:tcPr>
          <w:p>
            <w:pPr>
              <w:keepNext/>
              <w:keepLines/>
              <w:spacing w:after="0" w:line="252"/>
            </w:pPr>
            <w:r>
              <w:rPr>
                <w:sz w:val="21"/>
                <w:szCs w:val="21"/>
              </w:rPr>
              <w:t xml:space="preserve">Successor Manager</w:t>
            </w:r>
          </w:p>
        </w:tc>
        <w:tc>
          <w:tcPr>
            <w:tcW w:type="dxa" w:w="17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keepNext/>
              <w:keepLines/>
              <w:spacing w:after="0" w:line="252"/>
            </w:pPr>
            <w:r>
              <w:rPr>
                <w:sz w:val="21"/>
                <w:szCs w:val="21"/>
                <w:highlight w:val="yellow"/>
              </w:rPr>
              <w:t xml:space="preserve">[NAME]</w:t>
            </w:r>
          </w:p>
        </w:tc>
        <w:tc>
          <w:tcPr>
            <w:tcW w:type="dxa" w:w="2240"/>
            <w:tcBorders>
              <w:top w:val="single" w:color="808080" w:sz="4"/>
              <w:left w:val="single" w:color="808080" w:sz="4"/>
              <w:bottom w:val="single" w:color="808080" w:sz="4"/>
              <w:right w:val="single" w:color="808080" w:sz="4"/>
            </w:tcBorders>
            <w:tcMar>
              <w:top w:type="dxa" w:w="70"/>
              <w:left w:type="dxa" w:w="110"/>
              <w:bottom w:type="dxa" w:w="70"/>
              <w:right w:type="dxa" w:w="110"/>
            </w:tcMar>
          </w:tcPr>
          <w:p>
            <w:pPr>
              <w:keepNext/>
              <w:keepLines/>
              <w:spacing w:after="0" w:line="252"/>
            </w:pPr>
            <w:r>
              <w:rPr>
                <w:sz w:val="21"/>
                <w:szCs w:val="21"/>
                <w:highlight w:val="yellow"/>
              </w:rPr>
              <w:t xml:space="preserve">[ADDRESS]</w:t>
            </w:r>
          </w:p>
        </w:tc>
        <w:tc>
          <w:tcPr>
            <w:tcW w:type="dxa" w:w="2060"/>
            <w:tcBorders>
              <w:top w:val="single" w:color="808080" w:sz="4"/>
              <w:left w:val="single" w:color="808080" w:sz="4"/>
              <w:bottom w:val="single" w:color="808080" w:sz="4"/>
              <w:right w:val="single" w:color="808080" w:sz="4"/>
            </w:tcBorders>
            <w:tcMar>
              <w:top w:type="dxa" w:w="70"/>
              <w:left w:type="dxa" w:w="110"/>
              <w:bottom w:type="dxa" w:w="70"/>
              <w:right w:type="dxa" w:w="110"/>
            </w:tcMar>
          </w:tcPr>
          <w:p>
            <w:pPr>
              <w:keepNext/>
              <w:keepLines/>
              <w:spacing w:after="0" w:line="252"/>
            </w:pPr>
            <w:r>
              <w:rPr>
                <w:sz w:val="21"/>
                <w:szCs w:val="21"/>
                <w:highlight w:val="yellow"/>
              </w:rPr>
              <w:t xml:space="preserve">[RELATIONSHIP]</w:t>
            </w:r>
          </w:p>
        </w:tc>
        <w:tc>
          <w:tcPr>
            <w:tcW w:type="dxa" w:w="18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keepNext/>
              <w:keepLines/>
              <w:spacing w:after="0" w:line="252"/>
            </w:pPr>
            <w:r>
              <w:rPr>
                <w:sz w:val="21"/>
                <w:szCs w:val="21"/>
                <w:highlight w:val="yellow"/>
              </w:rPr>
              <w:t xml:space="preserve">[DATE]</w:t>
            </w:r>
          </w:p>
        </w:tc>
      </w:tr>
      <w:tr>
        <w:trPr>
          <w:cantSplit/>
          <w:tblHeader w:val="false"/>
        </w:trPr>
        <w:tc>
          <w:tcPr>
            <w:tcW w:type="dxa" w:w="1560"/>
            <w:tcBorders>
              <w:top w:val="single" w:color="808080" w:sz="4"/>
              <w:left w:val="single" w:color="808080" w:sz="4"/>
              <w:bottom w:val="single" w:color="808080" w:sz="4"/>
              <w:right w:val="single" w:color="808080" w:sz="4"/>
            </w:tcBorders>
            <w:tcMar>
              <w:top w:type="dxa" w:w="70"/>
              <w:left w:type="dxa" w:w="110"/>
              <w:bottom w:type="dxa" w:w="70"/>
              <w:right w:type="dxa" w:w="110"/>
            </w:tcMar>
          </w:tcPr>
          <w:p>
            <w:pPr>
              <w:keepNext w:val="false"/>
              <w:keepLines/>
              <w:spacing w:after="0" w:line="252"/>
            </w:pPr>
            <w:r>
              <w:rPr>
                <w:sz w:val="21"/>
                <w:szCs w:val="21"/>
              </w:rPr>
              <w:t xml:space="preserve">Alternate</w:t>
            </w:r>
          </w:p>
        </w:tc>
        <w:tc>
          <w:tcPr>
            <w:tcW w:type="dxa" w:w="17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keepNext w:val="false"/>
              <w:keepLines/>
              <w:spacing w:after="0" w:line="252"/>
            </w:pPr>
            <w:r>
              <w:rPr>
                <w:sz w:val="21"/>
                <w:szCs w:val="21"/>
                <w:highlight w:val="yellow"/>
              </w:rPr>
              <w:t xml:space="preserve">[NAME]</w:t>
            </w:r>
          </w:p>
        </w:tc>
        <w:tc>
          <w:tcPr>
            <w:tcW w:type="dxa" w:w="2240"/>
            <w:tcBorders>
              <w:top w:val="single" w:color="808080" w:sz="4"/>
              <w:left w:val="single" w:color="808080" w:sz="4"/>
              <w:bottom w:val="single" w:color="808080" w:sz="4"/>
              <w:right w:val="single" w:color="808080" w:sz="4"/>
            </w:tcBorders>
            <w:tcMar>
              <w:top w:type="dxa" w:w="70"/>
              <w:left w:type="dxa" w:w="110"/>
              <w:bottom w:type="dxa" w:w="70"/>
              <w:right w:type="dxa" w:w="110"/>
            </w:tcMar>
          </w:tcPr>
          <w:p>
            <w:pPr>
              <w:keepNext w:val="false"/>
              <w:keepLines/>
              <w:spacing w:after="0" w:line="252"/>
            </w:pPr>
            <w:r>
              <w:rPr>
                <w:sz w:val="21"/>
                <w:szCs w:val="21"/>
                <w:highlight w:val="yellow"/>
              </w:rPr>
              <w:t xml:space="preserve">[ADDRESS]</w:t>
            </w:r>
          </w:p>
        </w:tc>
        <w:tc>
          <w:tcPr>
            <w:tcW w:type="dxa" w:w="2060"/>
            <w:tcBorders>
              <w:top w:val="single" w:color="808080" w:sz="4"/>
              <w:left w:val="single" w:color="808080" w:sz="4"/>
              <w:bottom w:val="single" w:color="808080" w:sz="4"/>
              <w:right w:val="single" w:color="808080" w:sz="4"/>
            </w:tcBorders>
            <w:tcMar>
              <w:top w:type="dxa" w:w="70"/>
              <w:left w:type="dxa" w:w="110"/>
              <w:bottom w:type="dxa" w:w="70"/>
              <w:right w:type="dxa" w:w="110"/>
            </w:tcMar>
          </w:tcPr>
          <w:p>
            <w:pPr>
              <w:keepNext w:val="false"/>
              <w:keepLines/>
              <w:spacing w:after="0" w:line="252"/>
            </w:pPr>
            <w:r>
              <w:rPr>
                <w:sz w:val="21"/>
                <w:szCs w:val="21"/>
                <w:highlight w:val="yellow"/>
              </w:rPr>
              <w:t xml:space="preserve">[RELATIONSHIP]</w:t>
            </w:r>
          </w:p>
        </w:tc>
        <w:tc>
          <w:tcPr>
            <w:tcW w:type="dxa" w:w="18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keepNext w:val="false"/>
              <w:keepLines/>
              <w:spacing w:after="0" w:line="252"/>
            </w:pPr>
            <w:r>
              <w:rPr>
                <w:sz w:val="21"/>
                <w:szCs w:val="21"/>
                <w:highlight w:val="yellow"/>
              </w:rPr>
              <w:t xml:space="preserve">[DATE]</w:t>
            </w:r>
          </w:p>
        </w:tc>
      </w:tr>
    </w:tbl>
    <w:p>
      <w:pPr>
        <w:keepNext/>
        <w:keepLines/>
        <w:spacing w:after="0" w:before="240" w:line="264"/>
        <w:jc w:val="left"/>
      </w:pPr>
      <w:r>
        <w:rPr>
          <w:b/>
          <w:bCs/>
        </w:rPr>
        <w:t xml:space="preserve">MEMBER:</w:t>
      </w:r>
    </w:p>
    <w:p>
      <w:pPr>
        <w:keepNext/>
        <w:keepLines/>
        <w:pBdr>
          <w:bottom w:val="single" w:color="000000" w:sz="6" w:space="1"/>
        </w:pBdr>
        <w:spacing w:after="40" w:before="440"/>
        <w:ind w:right="4680"/>
      </w:pPr>
    </w:p>
    <w:p>
      <w:pPr>
        <w:keepNext/>
        <w:keepLines/>
        <w:spacing w:after="140" w:before="0" w:line="264"/>
        <w:jc w:val="left"/>
      </w:pPr>
      <w:r>
        <w:rPr>
          <w:highlight w:val="yellow"/>
        </w:rPr>
        <w:t xml:space="preserve">[MEMBER FULL LEGAL NAME]</w:t>
      </w:r>
      <w:r>
        <w:t xml:space="preserve">, Sole Member · Date: </w:t>
      </w:r>
      <w:r>
        <w:rPr>
          <w:highlight w:val="yellow"/>
        </w:rPr>
        <w:t xml:space="preserve">[DATE]</w:t>
      </w:r>
    </w:p>
    <w:p>
      <w:pPr>
        <w:keepNext/>
        <w:keepLines/>
        <w:spacing w:after="140" w:before="200" w:line="264"/>
        <w:jc w:val="left"/>
      </w:pPr>
      <w:r>
        <w:rPr>
          <w:b/>
          <w:bCs/>
        </w:rPr>
        <w:t xml:space="preserve">ACKNOWLEDGED AND ACCEPTED.</w:t>
      </w:r>
      <w:r>
        <w:t xml:space="preserve"> Each of the undersigned acknowledges the designation above and agrees to act in accordance with Article X of the Operating Agreement if called upon to serve.</w:t>
      </w:r>
    </w:p>
    <w:p>
      <w:pPr>
        <w:keepNext/>
        <w:keepLines/>
        <w:pBdr>
          <w:bottom w:val="single" w:color="000000" w:sz="6" w:space="1"/>
        </w:pBdr>
        <w:spacing w:after="40" w:before="440"/>
        <w:ind w:right="4680"/>
      </w:pPr>
    </w:p>
    <w:p>
      <w:pPr>
        <w:keepNext/>
        <w:keepLines/>
        <w:spacing w:after="140" w:before="0" w:line="264"/>
        <w:jc w:val="left"/>
      </w:pPr>
      <w:r>
        <w:rPr>
          <w:highlight w:val="yellow"/>
        </w:rPr>
        <w:t xml:space="preserve">[NAME]</w:t>
      </w:r>
      <w:r>
        <w:t xml:space="preserve">, Successor Manager · Date: </w:t>
      </w:r>
      <w:r>
        <w:rPr>
          <w:highlight w:val="yellow"/>
        </w:rPr>
        <w:t xml:space="preserve">[DATE]</w:t>
      </w:r>
    </w:p>
    <w:p>
      <w:pPr>
        <w:keepNext/>
        <w:keepLines/>
        <w:pBdr>
          <w:bottom w:val="single" w:color="000000" w:sz="6" w:space="1"/>
        </w:pBdr>
        <w:spacing w:after="40" w:before="440"/>
        <w:ind w:right="4680"/>
      </w:pPr>
    </w:p>
    <w:p>
      <w:pPr>
        <w:keepNext w:val="false"/>
        <w:keepLines/>
        <w:spacing w:after="140" w:before="0" w:line="264"/>
        <w:jc w:val="left"/>
      </w:pPr>
      <w:r>
        <w:rPr>
          <w:highlight w:val="yellow"/>
        </w:rPr>
        <w:t xml:space="preserve">[NAME]</w:t>
      </w:r>
      <w:r>
        <w:t xml:space="preserve">, Alternate · Date: </w:t>
      </w:r>
      <w:r>
        <w:rPr>
          <w:highlight w:val="yellow"/>
        </w:rPr>
        <w:t xml:space="preserve">[DATE]</w:t>
      </w:r>
    </w:p>
    <w:p>
      <w:pPr>
        <w:pStyle w:val="Heading1"/>
        <w:keepNext/>
        <w:pageBreakBefore/>
        <w:spacing w:after="280"/>
        <w:jc w:val="center"/>
      </w:pPr>
      <w:r>
        <w:t xml:space="preserve">EXHIBIT D — ANNUAL REAFFIRMATION</w:t>
      </w:r>
    </w:p>
    <w:p>
      <w:pPr>
        <w:keepNext/>
        <w:keepLines/>
        <w:spacing w:after="140" w:before="0" w:line="264"/>
        <w:jc w:val="left"/>
      </w:pPr>
      <w:r>
        <w:t xml:space="preserve">The undersigned, being a Member of Vivara Provisions LLC, reaffirms as of the date below each representation set forth in Section 9.1 of the Operating Agreement of the Company, and confirms that no event has occurred that would require notice under Section 9.2.</w:t>
      </w:r>
    </w:p>
    <w:p>
      <w:pPr>
        <w:keepNext/>
        <w:keepLines/>
        <w:pBdr>
          <w:bottom w:val="single" w:color="000000" w:sz="6" w:space="1"/>
        </w:pBdr>
        <w:spacing w:after="40" w:before="520"/>
        <w:ind w:right="4680"/>
      </w:pPr>
    </w:p>
    <w:p>
      <w:pPr>
        <w:keepNext/>
        <w:keepLines/>
        <w:spacing w:after="0" w:before="0" w:line="264"/>
        <w:jc w:val="left"/>
      </w:pPr>
      <w:r>
        <w:rPr>
          <w:highlight w:val="yellow"/>
        </w:rPr>
        <w:t xml:space="preserve">[NAME]</w:t>
      </w:r>
      <w:r>
        <w:t xml:space="preserve">, Member</w:t>
      </w:r>
    </w:p>
    <w:p>
      <w:pPr>
        <w:keepNext w:val="false"/>
        <w:keepLines/>
        <w:spacing w:after="140" w:before="0" w:line="264"/>
        <w:jc w:val="left"/>
      </w:pPr>
      <w:r>
        <w:t xml:space="preserve">Date: </w:t>
      </w:r>
      <w:r>
        <w:rPr>
          <w:highlight w:val="yellow"/>
        </w:rPr>
        <w:t xml:space="preserve">[DATE]</w:t>
      </w:r>
    </w:p>
    <w:sectPr>
      <w:footerReference w:type="default" r:id="rId7"/>
      <w:pgSz w:w="12240" w:h="15840" w:orient="portrait"/>
      <w:pgMar w:top="1440" w:right="1440" w:bottom="1440" w:left="1440" w:header="708"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tabs>
        <w:tab w:val="right" w:pos="9360"/>
      </w:tabs>
    </w:pPr>
    <w:r>
      <w:t xml:space="preserve">Operating Agreement of Vivara Provisions LLC</w:t>
    </w:r>
    <w: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80" w:before="0"/>
      <w:jc w:val="center"/>
      <w:outlineLvl w:val="0"/>
    </w:pPr>
    <w:rPr>
      <w:rFonts w:ascii="Times New Roman" w:cs="Times New Roman" w:eastAsia="Times New Roman" w:hAnsi="Times New Roman"/>
      <w:b/>
      <w:bCs/>
      <w:caps/>
      <w:sz w:val="24"/>
      <w:szCs w:val="24"/>
    </w:rPr>
  </w:style>
  <w:style w:type="paragraph" w:styleId="Footer">
    <w:name w:val="Footer"/>
    <w:basedOn w:val="Normal"/>
    <w:pPr>
      <w:spacing w:after="0"/>
    </w:pPr>
    <w:rPr>
      <w:rFonts w:ascii="Times New Roman" w:cs="Times New Roman" w:eastAsia="Times New Roman" w:hAnsi="Times New Roman"/>
      <w:color w:val="555555"/>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Operating Agreement of Vivara Provisions LLC</dc:title>
  <dc:creator>Vivara Provisions LLC</dc:creator>
  <cp:lastModifiedBy>Un-named</cp:lastModifiedBy>
  <cp:revision>1</cp:revision>
  <dcterms:created xsi:type="dcterms:W3CDTF">2026-09-27T21:01:34.585Z</dcterms:created>
  <dcterms:modified xsi:type="dcterms:W3CDTF">2026-09-27T21:01:34.585Z</dcterms:modified>
</cp:coreProperties>
</file>

<file path=docProps/custom.xml><?xml version="1.0" encoding="utf-8"?>
<Properties xmlns="http://schemas.openxmlformats.org/officeDocument/2006/custom-properties" xmlns:vt="http://schemas.openxmlformats.org/officeDocument/2006/docPropsVTypes"/>
</file>