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Vivara Provisions LLC — Written OFAC Sanctions Compliance Program</w:t>
      </w:r>
    </w:p>
    <w:p>
      <w:pPr/>
      <w:r>
        <w:t xml:space="preserve">Sep 27, 2026</w:t>
      </w:r>
      <w:r>
        <w:t xml:space="preserve"> · </w:t>
      </w:r>
      <w:r>
        <w:t xml:space="preserve">@Jose M</w:t>
      </w:r>
    </w:p>
    <w:p>
      <w:pPr>
        <w:pStyle w:val="Quote"/>
      </w:pPr>
      <w:r>
        <w:rPr>
          <w:b/>
        </w:rPr>
        <w:t xml:space="preserve">Draft v0.1 — not adopted.</w:t>
      </w:r>
      <w:r>
        <w:t xml:space="preserve"> This program takes effect only after OFAC/export-controls counsel reviews it and the Managing Member signs the adoption resolution in Appendix D. Until then, Vivara Provisions LLC accepts no customer orders.</w:t>
      </w:r>
    </w:p>
    <w:p>
      <w:pPr/>
      <w:r>
        <w:t xml:space="preserve">This is the written sanctions compliance program (the "Program") for </w:t>
      </w:r>
      <w:r>
        <w:rPr>
          <w:b/>
        </w:rPr>
        <w:t xml:space="preserve">Vivara Provisions LLC</w:t>
      </w:r>
      <w:r>
        <w:t xml:space="preserve">, built on the five components of OFAC's </w:t>
      </w:r>
      <w:hyperlink r:id="rId3" w:history="1">
        <w:r>
          <w:rPr>
            <w:rStyle w:val="Hyperlink"/>
          </w:rPr>
          <w:t xml:space="preserve">A Framework for OFAC Compliance Commitments</w:t>
        </w:r>
      </w:hyperlink>
      <w:r>
        <w:t xml:space="preserve"> (May 2019). It is written to be handed to a bank's BSA/AML officer and read against the transaction flow they will see in the account.</w:t>
      </w:r>
    </w:p>
    <w:p>
      <w:pPr/>
      <w:r>
        <w:rPr>
          <w:b/>
        </w:rPr>
        <w:t xml:space="preserve">Scope in one line:</w:t>
      </w:r>
      <w:r>
        <w:t xml:space="preserve"> Model A, Phase 1, Entity 1 only — U.S.-origin EAR99 food sold by Vivara as merchant of record to U.S.-based customers, exported under License Exception AGR for delivery to households in Cuba. Nothing in this document authorizes Entity 2 (SCP goods), MIPYME buyers, Model B, or Model C.</w:t>
      </w:r>
    </w:p>
    <w:p>
      <w:pPr/>
      <w:r>
        <w:rPr>
          <w:b/>
        </w:rPr>
        <w:t xml:space="preserve">Three labels are used throughout</w:t>
      </w:r>
      <w:r>
        <w:t xml:space="preserve"> so it is always clear why a rule exists:</w:t>
      </w:r>
    </w:p>
    <w:p>
      <w:pPr>
        <w:pStyle w:val="ListParagraph"/>
        <w:numPr>
          <w:ilvl w:val="0"/>
          <w:numId w:val="2"/>
        </w:numPr>
      </w:pPr>
      <w:r>
        <w:rPr>
          <w:b/>
        </w:rPr>
        <w:t xml:space="preserve">[LAW]</w:t>
      </w:r>
      <w:r>
        <w:t xml:space="preserve"> — required by a regulation or statute cited next to it. Breaking it is a violation.</w:t>
      </w:r>
    </w:p>
    <w:p>
      <w:pPr>
        <w:pStyle w:val="ListParagraph"/>
        <w:numPr>
          <w:ilvl w:val="0"/>
          <w:numId w:val="2"/>
        </w:numPr>
      </w:pPr>
      <w:r>
        <w:rPr>
          <w:b/>
        </w:rPr>
        <w:t xml:space="preserve">[POLICY]</w:t>
      </w:r>
      <w:r>
        <w:t xml:space="preserve"> — stricter than the law requires. Adopted because it is what a bank serving this sector expects, or because it protects the merchant-of-record position. Breaking it is a program failure, not necessarily a violation.</w:t>
      </w:r>
    </w:p>
    <w:p>
      <w:pPr>
        <w:pStyle w:val="ListParagraph"/>
        <w:numPr>
          <w:ilvl w:val="0"/>
          <w:numId w:val="2"/>
        </w:numPr>
      </w:pPr>
      <w:r>
        <w:rPr>
          <w:b/>
        </w:rPr>
        <w:t xml:space="preserve">[COUNSEL]</w:t>
      </w:r>
      <w:r>
        <w:t xml:space="preserve"> — a position counsel must confirm before adoption. Listed together in Section 12.</w:t>
      </w:r>
    </w:p>
    <w:p>
      <w:pPr>
        <w:pStyle w:val="Heading2"/>
      </w:pPr>
      <w:r>
        <w:t xml:space="preserve">1. Policy statement, purpose and scope</w:t>
      </w:r>
    </w:p>
    <w:p>
      <w:pPr/>
      <w:r>
        <w:rPr>
          <w:b/>
        </w:rPr>
        <w:t xml:space="preserve">Policy.</w:t>
      </w:r>
      <w:r>
        <w:t xml:space="preserve"> Vivara Provisions LLC will not engage in any transaction that violates U.S. sanctions or export controls, will not facilitate a transaction by anyone else that it could not lawfully do itself, and will stop any order it cannot fully document as authorized. When a control and a sale conflict, the sale loses.</w:t>
      </w:r>
    </w:p>
    <w:p>
      <w:pPr/>
      <w:r>
        <w:rPr>
          <w:b/>
        </w:rPr>
        <w:t xml:space="preserve">Purpose.</w:t>
      </w:r>
      <w:r>
        <w:t xml:space="preserve"> The Program exists to (1) keep every sale inside a named authorization, (2) keep blocked and restricted parties out of every transaction, (3) produce a record for each order that proves both, and (4) preserve the merchant-of-record structure that the FinCEN and Florida money-transmission analysis depends on.</w:t>
      </w:r>
    </w:p>
    <w:p>
      <w:pPr>
        <w:pStyle w:val="Heading3"/>
      </w:pPr>
      <w:r>
        <w:t xml:space="preserve">1.1 What the Program covers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In scope</w:t>
            </w:r>
          </w:p>
        </w:tc>
        <w:tc>
          <w:tcPr>
            <w:tcW w:w="3120" w:type="dxa"/>
            <w:shd w:val="clear" w:color="auto" w:fill="F2F2F2"/>
          </w:tcPr>
          <w:p>
            <w:pPr/>
            <w:r>
              <w:t xml:space="preserve">Out of scope (prohibited under this Program)</w:t>
            </w:r>
          </w:p>
        </w:tc>
      </w:tr>
      <w:tr>
        <w:tc>
          <w:tcPr>
            <w:tcW w:w="3120" w:type="dxa"/>
          </w:tcPr>
          <w:p>
            <w:pPr/>
            <w:r>
              <w:t xml:space="preserve">Entity</w:t>
            </w:r>
          </w:p>
        </w:tc>
        <w:tc>
          <w:tcPr>
            <w:tcW w:w="3120" w:type="dxa"/>
          </w:tcPr>
          <w:p>
            <w:pPr/>
            <w:r>
              <w:t xml:space="preserve">Vivara Provisions LLC (Entity 1)</w:t>
            </w:r>
          </w:p>
        </w:tc>
        <w:tc>
          <w:tcPr>
            <w:tcW w:w="3120" w:type="dxa"/>
          </w:tcPr>
          <w:p>
            <w:pPr/>
            <w:r>
              <w:t xml:space="preserve">Entity 2 or any affiliate; a separate program is required before Entity 2 transacts</w:t>
            </w:r>
          </w:p>
        </w:tc>
      </w:tr>
      <w:tr>
        <w:tc>
          <w:tcPr>
            <w:tcW w:w="3120" w:type="dxa"/>
          </w:tcPr>
          <w:p>
            <w:pPr/>
            <w:r>
              <w:t xml:space="preserve">Business model</w:t>
            </w:r>
          </w:p>
        </w:tc>
        <w:tc>
          <w:tcPr>
            <w:tcW w:w="3120" w:type="dxa"/>
          </w:tcPr>
          <w:p>
            <w:pPr/>
            <w:r>
              <w:t xml:space="preserve">Model A: Vivara buys, owns and sells inventory, and is the exporter (USPPI)</w:t>
            </w:r>
          </w:p>
        </w:tc>
        <w:tc>
          <w:tcPr>
            <w:tcW w:w="3120" w:type="dxa"/>
          </w:tcPr>
          <w:p>
            <w:pPr/>
            <w:r>
              <w:t xml:space="preserve">Model B (Cuba-sourced "combos"), Model C (pre-positioned inventory), marketplace, agency drop-ship, package forwarding</w:t>
            </w:r>
          </w:p>
        </w:tc>
      </w:tr>
      <w:tr>
        <w:tc>
          <w:tcPr>
            <w:tcW w:w="3120" w:type="dxa"/>
          </w:tcPr>
          <w:p>
            <w:pPr/>
            <w:r>
              <w:t xml:space="preserve">Products</w:t>
            </w:r>
          </w:p>
        </w:tc>
        <w:tc>
          <w:tcPr>
            <w:tcW w:w="3120" w:type="dxa"/>
          </w:tcPr>
          <w:p>
            <w:pPr/>
            <w:r>
              <w:t xml:space="preserve">Agricultural commodities that are EAR99 and eligible for License Exception AGR</w:t>
            </w:r>
          </w:p>
        </w:tc>
        <w:tc>
          <w:tcPr>
            <w:tcW w:w="3120" w:type="dxa"/>
          </w:tcPr>
          <w:p>
            <w:pPr/>
            <w:r>
              <w:t xml:space="preserve">Anything outside AGR: hygiene, household, tools, medicine, medical devices, any item requiring a license or SCP</w:t>
            </w:r>
          </w:p>
        </w:tc>
      </w:tr>
      <w:tr>
        <w:tc>
          <w:tcPr>
            <w:tcW w:w="3120" w:type="dxa"/>
          </w:tcPr>
          <w:p>
            <w:pPr/>
            <w:r>
              <w:t xml:space="preserve">Customer (payer)</w:t>
            </w:r>
          </w:p>
        </w:tc>
        <w:tc>
          <w:tcPr>
            <w:tcW w:w="3120" w:type="dxa"/>
          </w:tcPr>
          <w:p>
            <w:pPr/>
            <w:r>
              <w:t xml:space="preserve">Individuals located in the United States, paying from U.S.-issued cards or U.S. bank accounts</w:t>
            </w:r>
          </w:p>
        </w:tc>
        <w:tc>
          <w:tcPr>
            <w:tcW w:w="3120" w:type="dxa"/>
          </w:tcPr>
          <w:p>
            <w:pPr/>
            <w:r>
              <w:t xml:space="preserve">Anyone located outside the U.S.; any business customer; any Cuban entity</w:t>
            </w:r>
          </w:p>
        </w:tc>
      </w:tr>
      <w:tr>
        <w:tc>
          <w:tcPr>
            <w:tcW w:w="3120" w:type="dxa"/>
          </w:tcPr>
          <w:p>
            <w:pPr/>
            <w:r>
              <w:t xml:space="preserve">Recipient (ultimate consignee)</w:t>
            </w:r>
          </w:p>
        </w:tc>
        <w:tc>
          <w:tcPr>
            <w:tcW w:w="3120" w:type="dxa"/>
          </w:tcPr>
          <w:p>
            <w:pPr/>
            <w:r>
              <w:t xml:space="preserve">Private individuals in Cuba receiving food for household consumption</w:t>
            </w:r>
          </w:p>
        </w:tc>
        <w:tc>
          <w:tcPr>
            <w:tcW w:w="3120" w:type="dxa"/>
          </w:tcPr>
          <w:p>
            <w:pPr/>
            <w:r>
              <w:t xml:space="preserve">MIPYMEs and other businesses (deferred to Phase 2); any Cuban state entity; any listed party</w:t>
            </w:r>
          </w:p>
        </w:tc>
      </w:tr>
      <w:tr>
        <w:tc>
          <w:tcPr>
            <w:tcW w:w="3120" w:type="dxa"/>
          </w:tcPr>
          <w:p>
            <w:pPr/>
            <w:r>
              <w:t xml:space="preserve">Destination</w:t>
            </w:r>
          </w:p>
        </w:tc>
        <w:tc>
          <w:tcPr>
            <w:tcW w:w="3120" w:type="dxa"/>
          </w:tcPr>
          <w:p>
            <w:pPr/>
            <w:r>
              <w:t xml:space="preserve">Cuba</w:t>
            </w:r>
          </w:p>
        </w:tc>
        <w:tc>
          <w:tcPr>
            <w:tcW w:w="3120" w:type="dxa"/>
          </w:tcPr>
          <w:p>
            <w:pPr/>
            <w:r>
              <w:t xml:space="preserve">Any other country until a separate destination analysis exists</w:t>
            </w:r>
          </w:p>
        </w:tc>
      </w:tr>
      <w:tr>
        <w:tc>
          <w:tcPr>
            <w:tcW w:w="3120" w:type="dxa"/>
          </w:tcPr>
          <w:p>
            <w:pPr/>
            <w:r>
              <w:t xml:space="preserve">Money in</w:t>
            </w:r>
          </w:p>
        </w:tc>
        <w:tc>
          <w:tcPr>
            <w:tcW w:w="3120" w:type="dxa"/>
          </w:tcPr>
          <w:p>
            <w:pPr/>
            <w:r>
              <w:t xml:space="preserve">Card and ACH, USD, domestic, cash in advance</w:t>
            </w:r>
          </w:p>
        </w:tc>
        <w:tc>
          <w:tcPr>
            <w:tcW w:w="3120" w:type="dxa"/>
          </w:tcPr>
          <w:p>
            <w:pPr/>
            <w:r>
              <w:t xml:space="preserve">Physical cash, Zelle, PayPal, Venmo, crypto, third-country funds, any payment from Cuba</w:t>
            </w:r>
          </w:p>
        </w:tc>
      </w:tr>
      <w:tr>
        <w:tc>
          <w:tcPr>
            <w:tcW w:w="3120" w:type="dxa"/>
          </w:tcPr>
          <w:p>
            <w:pPr/>
            <w:r>
              <w:t xml:space="preserve">Money out</w:t>
            </w:r>
          </w:p>
        </w:tc>
        <w:tc>
          <w:tcPr>
            <w:tcW w:w="3120" w:type="dxa"/>
          </w:tcPr>
          <w:p>
            <w:pPr/>
            <w:r>
              <w:t xml:space="preserve">USD, domestic, to U.S.-domiciled suppliers and one U.S.-domiciled logistics provider</w:t>
            </w:r>
          </w:p>
        </w:tc>
        <w:tc>
          <w:tcPr>
            <w:tcW w:w="3120" w:type="dxa"/>
          </w:tcPr>
          <w:p>
            <w:pPr/>
            <w:r>
              <w:t xml:space="preserve">Any payment by Vivara to a Cuban party or a third-country account</w:t>
            </w:r>
          </w:p>
        </w:tc>
      </w:tr>
    </w:tbl>
    <w:p>
      <w:pPr>
        <w:pStyle w:val="Heading3"/>
      </w:pPr>
      <w:r>
        <w:t xml:space="preserve">1.2 Who must follow it</w:t>
      </w:r>
    </w:p>
    <w:p>
      <w:pPr>
        <w:pStyle w:val="ListParagraph"/>
        <w:numPr>
          <w:ilvl w:val="0"/>
          <w:numId w:val="3"/>
        </w:numPr>
      </w:pPr>
      <w:r>
        <w:t xml:space="preserve">The Managing Member, who is also the Sanctions Compliance Officer (Section 2).</w:t>
      </w:r>
    </w:p>
    <w:p>
      <w:pPr>
        <w:pStyle w:val="ListParagraph"/>
        <w:numPr>
          <w:ilvl w:val="0"/>
          <w:numId w:val="3"/>
        </w:numPr>
      </w:pPr>
      <w:r>
        <w:t xml:space="preserve">Any employee, contractor, or temporary helper who touches orders, inventory, shipping documents, or customer data.</w:t>
      </w:r>
    </w:p>
    <w:p>
      <w:pPr>
        <w:pStyle w:val="ListParagraph"/>
        <w:numPr>
          <w:ilvl w:val="0"/>
          <w:numId w:val="3"/>
        </w:numPr>
      </w:pPr>
      <w:r>
        <w:t xml:space="preserve">Referral and affiliate partners, through the compliance clauses in their agreements (they never touch money or goods).</w:t>
      </w:r>
    </w:p>
    <w:p>
      <w:pPr>
        <w:pStyle w:val="ListParagraph"/>
        <w:numPr>
          <w:ilvl w:val="0"/>
          <w:numId w:val="3"/>
        </w:numPr>
      </w:pPr>
      <w:r>
        <w:t xml:space="preserve">The logistics provider and suppliers, through contract representations (Section 5.7) — the Program cannot bind them directly, so it binds Vivara to verify them.</w:t>
      </w:r>
    </w:p>
    <w:p>
      <w:pPr>
        <w:pStyle w:val="Heading3"/>
      </w:pPr>
      <w:r>
        <w:t xml:space="preserve">1.3 Relationship to other documents</w:t>
      </w:r>
    </w:p>
    <w:p>
      <w:pPr/>
      <w:r>
        <w:t xml:space="preserve">The Program sits alongside, and does not replace: the operating agreement, counsel's written MSB determination, the one-page authorization statement for the Miami-Dade Tax Collector (HB 905 / § 205.0532, Fla. Stat.), the terms of sale, and the affiliate agreement. Where any of them conflicts with the Program on a sanctions or export question, the Program controls until counsel resolves the conflict.</w:t>
      </w:r>
    </w:p>
    <w:p>
      <w:pPr>
        <w:pStyle w:val="Heading2"/>
      </w:pPr>
      <w:r>
        <w:t xml:space="preserve">2. Management commitment and the Sanctions Compliance Officer</w:t>
      </w:r>
    </w:p>
    <w:p>
      <w:pPr/>
      <w:r>
        <w:t xml:space="preserve">Jose Marquez, as Managing Member, is designated </w:t>
      </w:r>
      <w:r>
        <w:rPr>
          <w:b/>
        </w:rPr>
        <w:t xml:space="preserve">Sanctions Compliance Officer (SCO)</w:t>
      </w:r>
      <w:r>
        <w:t xml:space="preserve">. In a single-member company the person who earns the revenue also clears the orders, so the Program replaces independence with pre-commitment: the hardest calls are decided in advance, in writing, and taken out of his discretion.</w:t>
      </w:r>
    </w:p>
    <w:p>
      <w:pPr>
        <w:pStyle w:val="Heading3"/>
      </w:pPr>
      <w:r>
        <w:t xml:space="preserve">2.1 SCO authority and duties</w:t>
      </w:r>
    </w:p>
    <w:p>
      <w:pPr>
        <w:pStyle w:val="ListParagraph"/>
        <w:numPr>
          <w:ilvl w:val="0"/>
          <w:numId w:val="4"/>
        </w:numPr>
      </w:pPr>
      <w:r>
        <w:rPr>
          <w:b/>
        </w:rPr>
        <w:t xml:space="preserve">Stop authority.</w:t>
      </w:r>
      <w:r>
        <w:t xml:space="preserve"> The SCO may hold, cancel, or refuse any order, supplier, carrier, or affiliate at any stage, without a business justification. [POLICY]</w:t>
      </w:r>
    </w:p>
    <w:p>
      <w:pPr>
        <w:pStyle w:val="ListParagraph"/>
        <w:numPr>
          <w:ilvl w:val="0"/>
          <w:numId w:val="4"/>
        </w:numPr>
      </w:pPr>
      <w:r>
        <w:rPr>
          <w:b/>
        </w:rPr>
        <w:t xml:space="preserve">No override of a hard stop.</w:t>
      </w:r>
      <w:r>
        <w:t xml:space="preserve"> A confirmed match, a CRL hit, a failed AGR condition, or a prohibited payment method (Section 5) ends the order. The SCO has no power to clear it on commercial grounds. Only written advice from counsel can reopen it, and that advice goes in the order file. [POLICY]</w:t>
      </w:r>
    </w:p>
    <w:p>
      <w:pPr>
        <w:pStyle w:val="ListParagraph"/>
        <w:numPr>
          <w:ilvl w:val="0"/>
          <w:numId w:val="4"/>
        </w:numPr>
      </w:pPr>
      <w:r>
        <w:rPr>
          <w:b/>
        </w:rPr>
        <w:t xml:space="preserve">Duties.</w:t>
      </w:r>
      <w:r>
        <w:t xml:space="preserve"> Run screening; keep the AGR notification log; approve new suppliers, the logistics provider, and affiliates; handle escalations (Section 6); file OFAC reports (Section 8); maintain records (Section 7); run training and self-testing (Sections 9–10); update the Program (Section 11).</w:t>
      </w:r>
    </w:p>
    <w:p>
      <w:pPr>
        <w:pStyle w:val="Heading3"/>
      </w:pPr>
      <w:r>
        <w:t xml:space="preserve">2.2 Resources committed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Commitment</w:t>
            </w:r>
          </w:p>
        </w:tc>
        <w:tc>
          <w:tcPr>
            <w:tcW w:w="3120" w:type="dxa"/>
            <w:shd w:val="clear" w:color="auto" w:fill="F2F2F2"/>
          </w:tcPr>
          <w:p>
            <w:pPr/>
            <w:r>
              <w:t xml:space="preserve">Status</w:t>
            </w:r>
          </w:p>
        </w:tc>
      </w:tr>
      <w:tr>
        <w:tc>
          <w:tcPr>
            <w:tcW w:w="3120" w:type="dxa"/>
          </w:tcPr>
          <w:p>
            <w:pPr/>
            <w:r>
              <w:t xml:space="preserve">Screening</w:t>
            </w:r>
          </w:p>
        </w:tc>
        <w:tc>
          <w:tcPr>
            <w:tcW w:w="3120" w:type="dxa"/>
          </w:tcPr>
          <w:p>
            <w:pPr/>
            <w:r>
              <w:t xml:space="preserve">A screening method that covers every list in Section 5.3, with a saved result for each search</w:t>
            </w:r>
          </w:p>
        </w:tc>
        <w:tc>
          <w:tcPr>
            <w:tcW w:w="3120" w:type="dxa"/>
          </w:tcPr>
          <w:p>
            <w:pPr/>
            <w:r>
              <w:t xml:space="preserve">Choose before first order: free government tools (OFAC Sanctions List Search, Trade.gov Consolidated Screening List, State's CRL page) or a paid screening service</w:t>
            </w:r>
          </w:p>
        </w:tc>
      </w:tr>
      <w:tr>
        <w:tc>
          <w:tcPr>
            <w:tcW w:w="3120" w:type="dxa"/>
          </w:tcPr>
          <w:p>
            <w:pPr/>
            <w:r>
              <w:t xml:space="preserve">Counsel</w:t>
            </w:r>
          </w:p>
        </w:tc>
        <w:tc>
          <w:tcPr>
            <w:tcW w:w="3120" w:type="dxa"/>
          </w:tcPr>
          <w:p>
            <w:pPr/>
            <w:r>
              <w:t xml:space="preserve">OFAC/export-controls counsel on engagement for escalations and the annual review</w:t>
            </w:r>
          </w:p>
        </w:tc>
        <w:tc>
          <w:tcPr>
            <w:tcW w:w="3120" w:type="dxa"/>
          </w:tcPr>
          <w:p>
            <w:pPr/>
            <w:r>
              <w:t xml:space="preserve">Not yet retained — blocks adoption</w:t>
            </w:r>
          </w:p>
        </w:tc>
      </w:tr>
      <w:tr>
        <w:tc>
          <w:tcPr>
            <w:tcW w:w="3120" w:type="dxa"/>
          </w:tcPr>
          <w:p>
            <w:pPr/>
            <w:r>
              <w:t xml:space="preserve">Regulatory monitoring</w:t>
            </w:r>
          </w:p>
        </w:tc>
        <w:tc>
          <w:tcPr>
            <w:tcW w:w="3120" w:type="dxa"/>
          </w:tcPr>
          <w:p>
            <w:pPr/>
            <w:r>
              <w:t xml:space="preserve">Email subscriptions to OFAC Recent Actions, BIS, and State Cuba releases; checked every business day</w:t>
            </w:r>
          </w:p>
        </w:tc>
        <w:tc>
          <w:tcPr>
            <w:tcW w:w="3120" w:type="dxa"/>
          </w:tcPr>
          <w:p>
            <w:pPr/>
            <w:r>
              <w:t xml:space="preserve">Set up before first order</w:t>
            </w:r>
          </w:p>
        </w:tc>
      </w:tr>
      <w:tr>
        <w:tc>
          <w:tcPr>
            <w:tcW w:w="3120" w:type="dxa"/>
          </w:tcPr>
          <w:p>
            <w:pPr/>
            <w:r>
              <w:t xml:space="preserve">Time</w:t>
            </w:r>
          </w:p>
        </w:tc>
        <w:tc>
          <w:tcPr>
            <w:tcW w:w="3120" w:type="dxa"/>
          </w:tcPr>
          <w:p>
            <w:pPr/>
            <w:r>
              <w:t xml:space="preserve">SCO review of every order before shipment; weekly re-screen; quarterly self-test</w:t>
            </w:r>
          </w:p>
        </w:tc>
        <w:tc>
          <w:tcPr>
            <w:tcW w:w="3120" w:type="dxa"/>
          </w:tcPr>
          <w:p>
            <w:pPr/>
            <w:r>
              <w:t xml:space="preserve">Ongoing</w:t>
            </w:r>
          </w:p>
        </w:tc>
      </w:tr>
    </w:tbl>
    <w:p>
      <w:pPr>
        <w:pStyle w:val="Heading3"/>
      </w:pPr>
      <w:r>
        <w:t xml:space="preserve">2.3 Continuity</w:t>
      </w:r>
    </w:p>
    <w:p>
      <w:pPr/>
      <w:r>
        <w:t xml:space="preserve">If the SCO is unavailable for more than 5 business days, </w:t>
      </w:r>
      <w:r>
        <w:rPr>
          <w:b/>
        </w:rPr>
        <w:t xml:space="preserve">new orders stop and unshipped orders hold</w:t>
      </w:r>
      <w:r>
        <w:t xml:space="preserve"> until a successor takes over. The successor manager named in the operating agreement (Exhibit C) becomes SCO only after completing the training in Section 9 and signing the Appendix D acknowledgment. An agent acting under the durable power of attorney may preserve records and refund customers not flagged by screening, but may not clear screening hits or release shipments. [POLICY]</w:t>
      </w:r>
    </w:p>
    <w:p>
      <w:pPr>
        <w:pStyle w:val="Heading3"/>
      </w:pPr>
      <w:r>
        <w:t xml:space="preserve">2.4 What this section produces, and who asks for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Document</w:t>
            </w:r>
          </w:p>
        </w:tc>
        <w:tc>
          <w:tcPr>
            <w:tcW w:w="4680" w:type="dxa"/>
            <w:shd w:val="clear" w:color="auto" w:fill="F2F2F2"/>
          </w:tcPr>
          <w:p>
            <w:pPr/>
            <w:r>
              <w:t xml:space="preserve">Who will ask</w:t>
            </w:r>
          </w:p>
        </w:tc>
      </w:tr>
      <w:tr>
        <w:tc>
          <w:tcPr>
            <w:tcW w:w="4680" w:type="dxa"/>
          </w:tcPr>
          <w:p>
            <w:pPr/>
            <w:r>
              <w:t xml:space="preserve">Signed adoption resolution (Appendix D) naming the SCO</w:t>
            </w:r>
          </w:p>
        </w:tc>
        <w:tc>
          <w:tcPr>
            <w:tcW w:w="4680" w:type="dxa"/>
          </w:tcPr>
          <w:p>
            <w:pPr/>
            <w:r>
              <w:t xml:space="preserve">Bank at onboarding; OFAC in any enforcement inquiry</w:t>
            </w:r>
          </w:p>
        </w:tc>
      </w:tr>
      <w:tr>
        <w:tc>
          <w:tcPr>
            <w:tcW w:w="4680" w:type="dxa"/>
          </w:tcPr>
          <w:p>
            <w:pPr/>
            <w:r>
              <w:t xml:space="preserve">SCO training and annual re-certification record</w:t>
            </w:r>
          </w:p>
        </w:tc>
        <w:tc>
          <w:tcPr>
            <w:tcW w:w="4680" w:type="dxa"/>
          </w:tcPr>
          <w:p>
            <w:pPr/>
            <w:r>
              <w:t xml:space="preserve">Bank periodic review; independent reviewer</w:t>
            </w:r>
          </w:p>
        </w:tc>
      </w:tr>
      <w:tr>
        <w:tc>
          <w:tcPr>
            <w:tcW w:w="4680" w:type="dxa"/>
          </w:tcPr>
          <w:p>
            <w:pPr/>
            <w:r>
              <w:t xml:space="preserve">Counsel engagement letter</w:t>
            </w:r>
          </w:p>
        </w:tc>
        <w:tc>
          <w:tcPr>
            <w:tcW w:w="4680" w:type="dxa"/>
          </w:tcPr>
          <w:p>
            <w:pPr/>
            <w:r>
              <w:t xml:space="preserve">Bank at onboarding; payment processor underwriting</w:t>
            </w:r>
          </w:p>
        </w:tc>
      </w:tr>
    </w:tbl>
    <w:p>
      <w:pPr>
        <w:pStyle w:val="Heading2"/>
      </w:pPr>
      <w:r>
        <w:t xml:space="preserve">3. Legal framework</w:t>
      </w:r>
    </w:p>
    <w:p>
      <w:pPr/>
      <w:r>
        <w:t xml:space="preserve">Every Vivara shipment needs three authorizations to line up at once — one from Commerce, one from OFAC under the embargo, and one from OFAC under the 2026 executive order — and none of them reaches a party this Program excludes.</w:t>
      </w:r>
    </w:p>
    <w:p>
      <w:pPr>
        <w:pStyle w:val="Heading3"/>
      </w:pPr>
      <w:r>
        <w:t xml:space="preserve">3.1 The authorization chain for one order</w:t>
      </w:r>
    </w:p>
    <w:p>
      <w:pPr>
        <w:pStyle w:val="ListParagraph"/>
        <w:numPr>
          <w:ilvl w:val="0"/>
          <w:numId w:val="5"/>
        </w:numPr>
      </w:pPr>
      <w:r>
        <w:rPr>
          <w:b/>
        </w:rPr>
        <w:t xml:space="preserve">Commerce (export).</w:t>
      </w:r>
      <w:r>
        <w:t xml:space="preserve"> The food must be an EAR99 agricultural commodity shipped under </w:t>
      </w:r>
      <w:r>
        <w:rPr>
          <w:b/>
        </w:rPr>
        <w:t xml:space="preserve">License Exception AGR</w:t>
      </w:r>
      <w:r>
        <w:t xml:space="preserve">, </w:t>
      </w:r>
      <w:hyperlink r:id="rId4" w:history="1">
        <w:r>
          <w:rPr>
            <w:rStyle w:val="Hyperlink"/>
          </w:rPr>
          <w:t xml:space="preserve">15 CFR § 740.18</w:t>
        </w:r>
      </w:hyperlink>
      <w:r>
        <w:t xml:space="preserve">: written contract, prior notification through SNAP-R, and no agency objection within 11 business days of registration. SCP (§ 740.21) is never available for food (</w:t>
      </w:r>
      <w:hyperlink r:id="rId5" w:history="1">
        <w:r>
          <w:rPr>
            <w:rStyle w:val="Hyperlink"/>
          </w:rPr>
          <w:t xml:space="preserve">BIS Cuba FAQ 55</w:t>
        </w:r>
      </w:hyperlink>
      <w:r>
        <w:t xml:space="preserve">).</w:t>
      </w:r>
    </w:p>
    <w:p>
      <w:pPr>
        <w:pStyle w:val="ListParagraph"/>
        <w:numPr>
          <w:ilvl w:val="0"/>
          <w:numId w:val="5"/>
        </w:numPr>
      </w:pPr>
      <w:r>
        <w:rPr>
          <w:b/>
        </w:rPr>
        <w:t xml:space="preserve">OFAC under the embargo.</w:t>
      </w:r>
      <w:r>
        <w:t xml:space="preserve"> </w:t>
      </w:r>
      <w:hyperlink r:id="rId6" w:history="1">
        <w:r>
          <w:rPr>
            <w:rStyle w:val="Hyperlink"/>
          </w:rPr>
          <w:t xml:space="preserve">31 CFR § 515.533(a)</w:t>
        </w:r>
      </w:hyperlink>
      <w:r>
        <w:t xml:space="preserve"> generally licenses transactions ordinarily incident to an export Commerce has authorized, provided it is not financed from a blocked account. For agricultural commodities, payment must be </w:t>
      </w:r>
      <w:r>
        <w:rPr>
          <w:b/>
        </w:rPr>
        <w:t xml:space="preserve">cash in advance</w:t>
      </w:r>
      <w:r>
        <w:t xml:space="preserve"> (payment before transfer of title to, and control of, the goods) or third-country bank financing — the TSRA limit in 22 U.S.C. § 7207(b). Vivara uses cash in advance only.</w:t>
      </w:r>
    </w:p>
    <w:p>
      <w:pPr>
        <w:pStyle w:val="ListParagraph"/>
        <w:numPr>
          <w:ilvl w:val="0"/>
          <w:numId w:val="5"/>
        </w:numPr>
      </w:pPr>
      <w:r>
        <w:rPr>
          <w:b/>
        </w:rPr>
        <w:t xml:space="preserve">OFAC under E.O. 14404.</w:t>
      </w:r>
      <w:r>
        <w:t xml:space="preserve"> </w:t>
      </w:r>
      <w:hyperlink r:id="rId7" w:history="1">
        <w:r>
          <w:rPr>
            <w:rStyle w:val="Hyperlink"/>
          </w:rPr>
          <w:t xml:space="preserve">Cuba General License 1</w:t>
        </w:r>
      </w:hyperlink>
      <w:r>
        <w:t xml:space="preserve"> authorizes transactions E.O. 14404 would prohibit, but only to the extent they are already authorized or exempt under the CACR. It expands nothing. If step 2 fails, step 3 fails with it.</w:t>
      </w:r>
    </w:p>
    <w:p>
      <w:pPr/>
      <w:r>
        <w:t xml:space="preserve">If any link fails, the order is not authorized, whatever the customer paid.</w:t>
      </w:r>
    </w:p>
    <w:p>
      <w:pPr>
        <w:pStyle w:val="Heading3"/>
      </w:pPr>
      <w:r>
        <w:t xml:space="preserve">3.2 Authorities the Program is built 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Authority</w:t>
            </w:r>
          </w:p>
        </w:tc>
        <w:tc>
          <w:tcPr>
            <w:tcW w:w="4680" w:type="dxa"/>
            <w:shd w:val="clear" w:color="auto" w:fill="F2F2F2"/>
          </w:tcPr>
          <w:p>
            <w:pPr/>
            <w:r>
              <w:t xml:space="preserve">What it does to Vivara</w:t>
            </w:r>
          </w:p>
        </w:tc>
      </w:tr>
      <w:tr>
        <w:tc>
          <w:tcPr>
            <w:tcW w:w="4680" w:type="dxa"/>
          </w:tcPr>
          <w:p>
            <w:pPr/>
            <w:hyperlink r:id="rId8" w:history="1">
              <w:r>
                <w:rPr>
                  <w:rStyle w:val="Hyperlink"/>
                </w:rPr>
                <w:t xml:space="preserve">CACR, 31 CFR Part 515</w:t>
              </w:r>
            </w:hyperlink>
          </w:p>
        </w:tc>
        <w:tc>
          <w:tcPr>
            <w:tcW w:w="4680" w:type="dxa"/>
          </w:tcPr>
          <w:p>
            <w:pPr/>
            <w:r>
              <w:t xml:space="preserve">The embargo. Prohibits dealings in property in which Cuba or a Cuban national has an interest unless authorized. Enforced under TWEA; codified by Helms-Burton (1996), so it cannot be lifted by the executive alone.</w:t>
            </w:r>
          </w:p>
        </w:tc>
      </w:tr>
      <w:tr>
        <w:tc>
          <w:tcPr>
            <w:tcW w:w="4680" w:type="dxa"/>
          </w:tcPr>
          <w:p>
            <w:pPr/>
            <w:hyperlink r:id="rId9" w:history="1">
              <w:r>
                <w:rPr>
                  <w:rStyle w:val="Hyperlink"/>
                </w:rPr>
                <w:t xml:space="preserve">31 CFR § 515.209</w:t>
              </w:r>
            </w:hyperlink>
            <w:r>
              <w:t xml:space="preserve"> — Cuba Restricted List</w:t>
            </w:r>
          </w:p>
        </w:tc>
        <w:tc>
          <w:tcPr>
            <w:tcW w:w="4680" w:type="dxa"/>
          </w:tcPr>
          <w:p>
            <w:pPr/>
            <w:r>
              <w:t xml:space="preserve">No </w:t>
            </w:r>
            <w:r>
              <w:rPr>
                <w:b/>
              </w:rPr>
              <w:t xml:space="preserve">direct financial transaction</w:t>
            </w:r>
            <w:r>
              <w:t xml:space="preserve"> (acting as originator or beneficiary of a funds transfer, card payment, check or cash) with any entity on State's Cuba Restricted List.</w:t>
            </w:r>
          </w:p>
        </w:tc>
      </w:tr>
      <w:tr>
        <w:tc>
          <w:tcPr>
            <w:tcW w:w="4680" w:type="dxa"/>
          </w:tcPr>
          <w:p>
            <w:pPr/>
            <w:r>
              <w:t xml:space="preserve">TSRA, 22 U.S.C. §§ 7201–7211</w:t>
            </w:r>
          </w:p>
        </w:tc>
        <w:tc>
          <w:tcPr>
            <w:tcW w:w="4680" w:type="dxa"/>
          </w:tcPr>
          <w:p>
            <w:pPr/>
            <w:r>
              <w:t xml:space="preserve">Statutory basis for food exports; source of the cash-in-advance / third-country-financing rule. Removable only by Congress.</w:t>
            </w:r>
          </w:p>
        </w:tc>
      </w:tr>
      <w:tr>
        <w:tc>
          <w:tcPr>
            <w:tcW w:w="4680" w:type="dxa"/>
          </w:tcPr>
          <w:p>
            <w:pPr/>
            <w:r>
              <w:t xml:space="preserve">EAR, 15 CFR Parts 740, 746, 762</w:t>
            </w:r>
          </w:p>
        </w:tc>
        <w:tc>
          <w:tcPr>
            <w:tcW w:w="4680" w:type="dxa"/>
          </w:tcPr>
          <w:p>
            <w:pPr/>
            <w:r>
              <w:t xml:space="preserve">License requirement for Cuba (Part 746), License Exception AGR (§ 740.18), 5-year export recordkeeping (Part 762).</w:t>
            </w:r>
          </w:p>
        </w:tc>
      </w:tr>
      <w:tr>
        <w:tc>
          <w:tcPr>
            <w:tcW w:w="4680" w:type="dxa"/>
          </w:tcPr>
          <w:p>
            <w:pPr/>
            <w:r>
              <w:t xml:space="preserve">FTR, 15 CFR Part 30</w:t>
            </w:r>
          </w:p>
        </w:tc>
        <w:tc>
          <w:tcPr>
            <w:tcW w:w="4680" w:type="dxa"/>
          </w:tcPr>
          <w:p>
            <w:pPr/>
            <w:r>
              <w:t xml:space="preserve">EEI filing in AES for each shipment; 5-year retention (§ 30.10).</w:t>
            </w:r>
          </w:p>
        </w:tc>
      </w:tr>
      <w:tr>
        <w:tc>
          <w:tcPr>
            <w:tcW w:w="4680" w:type="dxa"/>
          </w:tcPr>
          <w:p>
            <w:pPr/>
            <w:r>
              <w:t xml:space="preserve">E.O. 14380 (29 Jan 2026)</w:t>
            </w:r>
          </w:p>
        </w:tc>
        <w:tc>
          <w:tcPr>
            <w:tcW w:w="4680" w:type="dxa"/>
          </w:tcPr>
          <w:p>
            <w:pPr/>
            <w:r>
              <w:t xml:space="preserve">Declares the Cuba national emergency that E.O. 14404 builds on.</w:t>
            </w:r>
          </w:p>
        </w:tc>
      </w:tr>
      <w:tr>
        <w:tc>
          <w:tcPr>
            <w:tcW w:w="4680" w:type="dxa"/>
          </w:tcPr>
          <w:p>
            <w:pPr/>
            <w:hyperlink r:id="rId10" w:history="1">
              <w:r>
                <w:rPr>
                  <w:rStyle w:val="Hyperlink"/>
                </w:rPr>
                <w:t xml:space="preserve">E.O. 14404</w:t>
              </w:r>
            </w:hyperlink>
            <w:r>
              <w:t xml:space="preserve"> (1 May 2026)</w:t>
            </w:r>
          </w:p>
        </w:tc>
        <w:tc>
          <w:tcPr>
            <w:tcW w:w="4680" w:type="dxa"/>
          </w:tcPr>
          <w:p>
            <w:pPr/>
            <w:r>
              <w:t xml:space="preserve">New IEEPA blocking program, separate from and in addition to the CACR (</w:t>
            </w:r>
            <w:hyperlink r:id="rId11" w:history="1">
              <w:r>
                <w:rPr>
                  <w:rStyle w:val="Hyperlink"/>
                </w:rPr>
                <w:t xml:space="preserve">FAQ 1252</w:t>
              </w:r>
            </w:hyperlink>
            <w:r>
              <w:t xml:space="preserve">). Adds secondary-sanctions risk for foreign banks. Designations are not automatic by sector (</w:t>
            </w:r>
            <w:hyperlink r:id="rId11" w:history="1">
              <w:r>
                <w:rPr>
                  <w:rStyle w:val="Hyperlink"/>
                </w:rPr>
                <w:t xml:space="preserve">FAQ 1256</w:t>
              </w:r>
            </w:hyperlink>
            <w:r>
              <w:t xml:space="preserve">).</w:t>
            </w:r>
          </w:p>
        </w:tc>
      </w:tr>
      <w:tr>
        <w:tc>
          <w:tcPr>
            <w:tcW w:w="4680" w:type="dxa"/>
          </w:tcPr>
          <w:p>
            <w:pPr/>
            <w:hyperlink r:id="rId7" w:history="1">
              <w:r>
                <w:rPr>
                  <w:rStyle w:val="Hyperlink"/>
                </w:rPr>
                <w:t xml:space="preserve">Cuba GL 1</w:t>
              </w:r>
            </w:hyperlink>
            <w:r>
              <w:t xml:space="preserve"> (7 May 2026)</w:t>
            </w:r>
          </w:p>
        </w:tc>
        <w:tc>
          <w:tcPr>
            <w:tcW w:w="4680" w:type="dxa"/>
          </w:tcPr>
          <w:p>
            <w:pPr/>
            <w:r>
              <w:t xml:space="preserve">Carries CACR authorizations across into the E.O. 14404 program; self-executing; no expansion.</w:t>
            </w:r>
          </w:p>
        </w:tc>
      </w:tr>
      <w:tr>
        <w:tc>
          <w:tcPr>
            <w:tcW w:w="4680" w:type="dxa"/>
          </w:tcPr>
          <w:p>
            <w:pPr/>
            <w:hyperlink r:id="rId12" w:history="1">
              <w:r>
                <w:rPr>
                  <w:rStyle w:val="Hyperlink"/>
                </w:rPr>
                <w:t xml:space="preserve">OFAC FAQ 1258</w:t>
              </w:r>
            </w:hyperlink>
            <w:r>
              <w:t xml:space="preserve"> (4 Jun 2026)</w:t>
            </w:r>
          </w:p>
        </w:tc>
        <w:tc>
          <w:tcPr>
            <w:tcW w:w="4680" w:type="dxa"/>
          </w:tcPr>
          <w:p>
            <w:pPr/>
            <w:r>
              <w:t xml:space="preserve">GAESA, MININT and MINFAR are blocked under E.O. 14404 and the CACR; risk extends to any entity they own 50% or more, and many CRL entities fit that description.</w:t>
            </w:r>
          </w:p>
        </w:tc>
      </w:tr>
      <w:tr>
        <w:tc>
          <w:tcPr>
            <w:tcW w:w="4680" w:type="dxa"/>
          </w:tcPr>
          <w:p>
            <w:pPr/>
            <w:hyperlink r:id="rId13" w:history="1">
              <w:r>
                <w:rPr>
                  <w:rStyle w:val="Hyperlink"/>
                </w:rPr>
                <w:t xml:space="preserve">31 CFR § 501.601</w:t>
              </w:r>
            </w:hyperlink>
          </w:p>
        </w:tc>
        <w:tc>
          <w:tcPr>
            <w:tcW w:w="4680" w:type="dxa"/>
          </w:tcPr>
          <w:p>
            <w:pPr/>
            <w:r>
              <w:t xml:space="preserve">OFAC records kept </w:t>
            </w:r>
            <w:r>
              <w:rPr>
                <w:b/>
              </w:rPr>
              <w:t xml:space="preserve">10 years</w:t>
            </w:r>
            <w:r>
              <w:t xml:space="preserve"> (in force since 12 March 2025).</w:t>
            </w:r>
          </w:p>
        </w:tc>
      </w:tr>
      <w:tr>
        <w:tc>
          <w:tcPr>
            <w:tcW w:w="4680" w:type="dxa"/>
          </w:tcPr>
          <w:p>
            <w:pPr/>
            <w:r>
              <w:t xml:space="preserve">31 CFR §§ 501.603–.604</w:t>
            </w:r>
          </w:p>
        </w:tc>
        <w:tc>
          <w:tcPr>
            <w:tcW w:w="4680" w:type="dxa"/>
          </w:tcPr>
          <w:p>
            <w:pPr/>
            <w:r>
              <w:t xml:space="preserve">Blocked-property and rejected-transaction reports, each due within 10 business days.</w:t>
            </w:r>
          </w:p>
        </w:tc>
      </w:tr>
      <w:tr>
        <w:tc>
          <w:tcPr>
            <w:tcW w:w="4680" w:type="dxa"/>
          </w:tcPr>
          <w:p>
            <w:pPr/>
            <w:r>
              <w:t xml:space="preserve">31 CFR Part 501, App. A</w:t>
            </w:r>
          </w:p>
        </w:tc>
        <w:tc>
          <w:tcPr>
            <w:tcW w:w="4680" w:type="dxa"/>
          </w:tcPr>
          <w:p>
            <w:pPr/>
            <w:r>
              <w:t xml:space="preserve">OFAC Enforcement Guidelines — how an existing compliance program and a voluntary self-disclosure reduce penalties.</w:t>
            </w:r>
          </w:p>
        </w:tc>
      </w:tr>
    </w:tbl>
    <w:p>
      <w:pPr>
        <w:pStyle w:val="Heading3"/>
      </w:pPr>
      <w:r>
        <w:t xml:space="preserve">3.3 Where 2026 differs from older sources</w:t>
      </w:r>
    </w:p>
    <w:p>
      <w:pPr/>
      <w:r>
        <w:t xml:space="preserve">Most online guidance on Cuba trade predates this year. Treat any source older than May 2026 as unreliable on these points:</w:t>
      </w:r>
    </w:p>
    <w:p>
      <w:pPr>
        <w:pStyle w:val="ListParagraph"/>
        <w:numPr>
          <w:ilvl w:val="0"/>
          <w:numId w:val="6"/>
        </w:numPr>
      </w:pPr>
      <w:r>
        <w:rPr>
          <w:b/>
        </w:rPr>
        <w:t xml:space="preserve">GAESA is blocked, not just "restricted."</w:t>
      </w:r>
      <w:r>
        <w:t xml:space="preserve"> Pre-2026 material describes GAESA only as a CRL entity (no direct financial transactions). Since 7 May 2026 it is on the SDN List under E.O. 14404, joined by MININT, PNR and DGI (18 May) and MINFAR (4 Jun); see </w:t>
      </w:r>
      <w:hyperlink r:id="rId12" w:history="1">
        <w:r>
          <w:rPr>
            <w:rStyle w:val="Hyperlink"/>
          </w:rPr>
          <w:t xml:space="preserve">FAQ 1258</w:t>
        </w:r>
      </w:hyperlink>
      <w:r>
        <w:t xml:space="preserve"> and </w:t>
      </w:r>
      <w:hyperlink r:id="rId11" w:history="1">
        <w:r>
          <w:rPr>
            <w:rStyle w:val="Hyperlink"/>
          </w:rPr>
          <w:t xml:space="preserve">OFAC FAQ 1254</w:t>
        </w:r>
      </w:hyperlink>
      <w:r>
        <w:t xml:space="preserve">.</w:t>
      </w:r>
    </w:p>
    <w:p>
      <w:pPr>
        <w:pStyle w:val="ListParagraph"/>
        <w:numPr>
          <w:ilvl w:val="0"/>
          <w:numId w:val="6"/>
        </w:numPr>
      </w:pPr>
      <w:r>
        <w:rPr>
          <w:b/>
        </w:rPr>
        <w:t xml:space="preserve">Port and bank infrastructure is now designated.</w:t>
      </w:r>
      <w:r>
        <w:t xml:space="preserve"> Terminal de Contenedores de Mariel S.A. was designated 23 Jul 2026 (</w:t>
      </w:r>
      <w:hyperlink r:id="rId14" w:history="1">
        <w:r>
          <w:rPr>
            <w:rStyle w:val="Hyperlink"/>
          </w:rPr>
          <w:t xml:space="preserve">OFAC action</w:t>
        </w:r>
      </w:hyperlink>
      <w:r>
        <w:t xml:space="preserve">); Banco Exterior de Cuba, Cuba's foreign-trade bank, on 3 Sep 2026 (</w:t>
      </w:r>
      <w:hyperlink r:id="rId15" w:history="1">
        <w:r>
          <w:rPr>
            <w:rStyle w:val="Hyperlink"/>
          </w:rPr>
          <w:t xml:space="preserve">OFAC action</w:t>
        </w:r>
      </w:hyperlink>
      <w:r>
        <w:t xml:space="preserve">); the Ministry of Construction (MICONS) on 20 Aug 2026 (</w:t>
      </w:r>
      <w:hyperlink r:id="rId16" w:history="1">
        <w:r>
          <w:rPr>
            <w:rStyle w:val="Hyperlink"/>
          </w:rPr>
          <w:t xml:space="preserve">FAQ 1265</w:t>
        </w:r>
      </w:hyperlink>
      <w:r>
        <w:t xml:space="preserve">). The pace is roughly one Cuba action every two to four weeks.</w:t>
      </w:r>
    </w:p>
    <w:p>
      <w:pPr>
        <w:pStyle w:val="ListParagraph"/>
        <w:numPr>
          <w:ilvl w:val="0"/>
          <w:numId w:val="6"/>
        </w:numPr>
      </w:pPr>
      <w:r>
        <w:rPr>
          <w:b/>
        </w:rPr>
        <w:t xml:space="preserve">SCP is fragile.</w:t>
      </w:r>
      <w:r>
        <w:t xml:space="preserve"> BIS suspended part of License Exception SCP on 4 Mar 2026 (</w:t>
      </w:r>
      <w:hyperlink r:id="rId17" w:history="1">
        <w:r>
          <w:rPr>
            <w:rStyle w:val="Hyperlink"/>
          </w:rPr>
          <w:t xml:space="preserve">BIS Cuba page</w:t>
        </w:r>
      </w:hyperlink>
      <w:r>
        <w:t xml:space="preserve">). Irrelevant to food, but it is why the food line stands alone.</w:t>
      </w:r>
    </w:p>
    <w:p>
      <w:pPr>
        <w:pStyle w:val="ListParagraph"/>
        <w:numPr>
          <w:ilvl w:val="0"/>
          <w:numId w:val="6"/>
        </w:numPr>
      </w:pPr>
      <w:r>
        <w:rPr>
          <w:b/>
        </w:rPr>
        <w:t xml:space="preserve">Records are 10 years, not 5.</w:t>
      </w:r>
      <w:r>
        <w:t xml:space="preserve"> Older compliance templates cite 5 years; OFAC's rule and the statute of limitations are now 10.</w:t>
      </w:r>
    </w:p>
    <w:p>
      <w:pPr>
        <w:pStyle w:val="ListParagraph"/>
        <w:numPr>
          <w:ilvl w:val="0"/>
          <w:numId w:val="6"/>
        </w:numPr>
      </w:pPr>
      <w:r>
        <w:rPr>
          <w:b/>
        </w:rPr>
        <w:t xml:space="preserve">Humanitarian non-targeting statements are for non-U.S. persons.</w:t>
      </w:r>
      <w:r>
        <w:t xml:space="preserve"> </w:t>
      </w:r>
      <w:hyperlink r:id="rId18" w:history="1">
        <w:r>
          <w:rPr>
            <w:rStyle w:val="Hyperlink"/>
          </w:rPr>
          <w:t xml:space="preserve">FAQ 1264</w:t>
        </w:r>
      </w:hyperlink>
      <w:r>
        <w:t xml:space="preserve"> says the U.S. does not intend to target non-U.S. persons for food deliveries; it tells U.S. persons to comply with GL 1. It is not a safe harbor for Vivara.</w:t>
      </w:r>
    </w:p>
    <w:p>
      <w:pPr>
        <w:pStyle w:val="Heading2"/>
      </w:pPr>
      <w:r>
        <w:t xml:space="preserve">4. Sanctions risk assessment</w:t>
      </w:r>
    </w:p>
    <w:p>
      <w:pPr/>
      <w:r>
        <w:t xml:space="preserve">Vivara's highest sanctions risk is not its customers or its food — it is the Cuban-side logistics chain it pays for indirectly, where the port operator, the foreign-trade bank, and last-mile couriers have all been designated in 2026. The product and the money-in side are low risk by design.</w:t>
      </w:r>
    </w:p>
    <w:p>
      <w:pPr/>
      <w:r>
        <w:t xml:space="preserve">Ratings: </w:t>
      </w:r>
      <w:r>
        <w:rPr>
          <w:b/>
        </w:rPr>
        <w:t xml:space="preserve">High</w:t>
      </w:r>
      <w:r>
        <w:t xml:space="preserve"> = a realistic path to a violation or account closure without active controls; </w:t>
      </w:r>
      <w:r>
        <w:rPr>
          <w:b/>
        </w:rPr>
        <w:t xml:space="preserve">Medium</w:t>
      </w:r>
      <w:r>
        <w:t xml:space="preserve"> = a plausible path; </w:t>
      </w:r>
      <w:r>
        <w:rPr>
          <w:b/>
        </w:rPr>
        <w:t xml:space="preserve">Low</w:t>
      </w:r>
      <w:r>
        <w:t xml:space="preserve"> = remote. Residual is the rating after the Section 5 controls work as written.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Risk area</w:t>
            </w:r>
          </w:p>
        </w:tc>
        <w:tc>
          <w:tcPr>
            <w:tcW w:w="1560" w:type="dxa"/>
            <w:shd w:val="clear" w:color="auto" w:fill="F2F2F2"/>
          </w:tcPr>
          <w:p>
            <w:pPr/>
            <w:r>
              <w:t xml:space="preserve">What could go wrong</w:t>
            </w:r>
          </w:p>
        </w:tc>
        <w:tc>
          <w:tcPr>
            <w:tcW w:w="1560" w:type="dxa"/>
            <w:shd w:val="clear" w:color="auto" w:fill="F2F2F2"/>
          </w:tcPr>
          <w:p>
            <w:pPr/>
            <w:r>
              <w:t xml:space="preserve">Inherent</w:t>
            </w:r>
          </w:p>
        </w:tc>
        <w:tc>
          <w:tcPr>
            <w:tcW w:w="1560" w:type="dxa"/>
            <w:shd w:val="clear" w:color="auto" w:fill="F2F2F2"/>
          </w:tcPr>
          <w:p>
            <w:pPr/>
            <w:r>
              <w:t xml:space="preserve">Key controls (Section)</w:t>
            </w:r>
          </w:p>
        </w:tc>
        <w:tc>
          <w:tcPr>
            <w:tcW w:w="1560" w:type="dxa"/>
            <w:shd w:val="clear" w:color="auto" w:fill="F2F2F2"/>
          </w:tcPr>
          <w:p>
            <w:pPr/>
            <w:r>
              <w:t xml:space="preserve">Residual</w:t>
            </w:r>
          </w:p>
        </w:tc>
      </w:tr>
      <w:tr>
        <w:tc>
          <w:tcPr>
            <w:tcW w:w="1560" w:type="dxa"/>
          </w:tcPr>
          <w:p>
            <w:pPr/>
            <w:r>
              <w:t xml:space="preserve">R1</w:t>
            </w:r>
          </w:p>
        </w:tc>
        <w:tc>
          <w:tcPr>
            <w:tcW w:w="1560" w:type="dxa"/>
          </w:tcPr>
          <w:p>
            <w:pPr/>
            <w:r>
              <w:t xml:space="preserve">Destination</w:t>
            </w:r>
          </w:p>
        </w:tc>
        <w:tc>
          <w:tcPr>
            <w:tcW w:w="1560" w:type="dxa"/>
          </w:tcPr>
          <w:p>
            <w:pPr/>
            <w:r>
              <w:t xml:space="preserve">Cuba is under a comprehensive embargo; any unauthorized dealing is a violation</w:t>
            </w:r>
          </w:p>
        </w:tc>
        <w:tc>
          <w:tcPr>
            <w:tcW w:w="1560" w:type="dxa"/>
          </w:tcPr>
          <w:p>
            <w:pPr/>
            <w:r>
              <w:t xml:space="preserve">High</w:t>
            </w:r>
          </w:p>
        </w:tc>
        <w:tc>
          <w:tcPr>
            <w:tcW w:w="1560" w:type="dxa"/>
          </w:tcPr>
          <w:p>
            <w:pPr/>
            <w:r>
              <w:t xml:space="preserve">Authorization chain for every order (3.1, 5.2)</w:t>
            </w:r>
          </w:p>
        </w:tc>
        <w:tc>
          <w:tcPr>
            <w:tcW w:w="1560" w:type="dxa"/>
          </w:tcPr>
          <w:p>
            <w:pPr/>
            <w:r>
              <w:t xml:space="preserve">Medium</w:t>
            </w:r>
          </w:p>
        </w:tc>
      </w:tr>
      <w:tr>
        <w:tc>
          <w:tcPr>
            <w:tcW w:w="1560" w:type="dxa"/>
          </w:tcPr>
          <w:p>
            <w:pPr/>
            <w:r>
              <w:t xml:space="preserve">R2</w:t>
            </w:r>
          </w:p>
        </w:tc>
        <w:tc>
          <w:tcPr>
            <w:tcW w:w="1560" w:type="dxa"/>
          </w:tcPr>
          <w:p>
            <w:pPr/>
            <w:r>
              <w:t xml:space="preserve">Logistics and port</w:t>
            </w:r>
          </w:p>
        </w:tc>
        <w:tc>
          <w:tcPr>
            <w:tcW w:w="1560" w:type="dxa"/>
          </w:tcPr>
          <w:p>
            <w:pPr/>
            <w:r>
              <w:t xml:space="preserve">Forwarder settles Cuban port, customs or last-mile charges with a designated party (Mariel terminal, Banco Exterior de Cuba, ENETEC-type couriers)</w:t>
            </w:r>
          </w:p>
        </w:tc>
        <w:tc>
          <w:tcPr>
            <w:tcW w:w="1560" w:type="dxa"/>
          </w:tcPr>
          <w:p>
            <w:pPr/>
            <w:r>
              <w:t xml:space="preserve">High</w:t>
            </w:r>
          </w:p>
        </w:tc>
        <w:tc>
          <w:tcPr>
            <w:tcW w:w="1560" w:type="dxa"/>
          </w:tcPr>
          <w:p>
            <w:pPr/>
            <w:r>
              <w:t xml:space="preserve">Forwarder diligence and contract reps; USD domestic door-to-door invoice; counsel opinion on terminal charges (5.7, 12)</w:t>
            </w:r>
          </w:p>
        </w:tc>
        <w:tc>
          <w:tcPr>
            <w:tcW w:w="1560" w:type="dxa"/>
          </w:tcPr>
          <w:p>
            <w:pPr/>
            <w:r>
              <w:rPr>
                <w:b/>
              </w:rPr>
              <w:t xml:space="preserve">High until counsel answers</w:t>
            </w:r>
          </w:p>
        </w:tc>
      </w:tr>
      <w:tr>
        <w:tc>
          <w:tcPr>
            <w:tcW w:w="1560" w:type="dxa"/>
          </w:tcPr>
          <w:p>
            <w:pPr/>
            <w:r>
              <w:t xml:space="preserve">R3</w:t>
            </w:r>
          </w:p>
        </w:tc>
        <w:tc>
          <w:tcPr>
            <w:tcW w:w="1560" w:type="dxa"/>
          </w:tcPr>
          <w:p>
            <w:pPr/>
            <w:r>
              <w:t xml:space="preserve">Recipient</w:t>
            </w:r>
          </w:p>
        </w:tc>
        <w:tc>
          <w:tcPr>
            <w:tcW w:w="1560" w:type="dxa"/>
          </w:tcPr>
          <w:p>
            <w:pPr/>
            <w:r>
              <w:t xml:space="preserve">Recipient is an SDN, a designated official's family member, or a state or military address</w:t>
            </w:r>
          </w:p>
        </w:tc>
        <w:tc>
          <w:tcPr>
            <w:tcW w:w="1560" w:type="dxa"/>
          </w:tcPr>
          <w:p>
            <w:pPr/>
            <w:r>
              <w:t xml:space="preserve">Medium</w:t>
            </w:r>
          </w:p>
        </w:tc>
        <w:tc>
          <w:tcPr>
            <w:tcW w:w="1560" w:type="dxa"/>
          </w:tcPr>
          <w:p>
            <w:pPr/>
            <w:r>
              <w:t xml:space="preserve">Recipient screening, address review, household-only rule (5.3, 5.4)</w:t>
            </w:r>
          </w:p>
        </w:tc>
        <w:tc>
          <w:tcPr>
            <w:tcW w:w="1560" w:type="dxa"/>
          </w:tcPr>
          <w:p>
            <w:pPr/>
            <w:r>
              <w:t xml:space="preserve">Low</w:t>
            </w:r>
          </w:p>
        </w:tc>
      </w:tr>
      <w:tr>
        <w:tc>
          <w:tcPr>
            <w:tcW w:w="1560" w:type="dxa"/>
          </w:tcPr>
          <w:p>
            <w:pPr/>
            <w:r>
              <w:t xml:space="preserve">R4</w:t>
            </w:r>
          </w:p>
        </w:tc>
        <w:tc>
          <w:tcPr>
            <w:tcW w:w="1560" w:type="dxa"/>
          </w:tcPr>
          <w:p>
            <w:pPr/>
            <w:r>
              <w:t xml:space="preserve">Customer (payer)</w:t>
            </w:r>
          </w:p>
        </w:tc>
        <w:tc>
          <w:tcPr>
            <w:tcW w:w="1560" w:type="dxa"/>
          </w:tcPr>
          <w:p>
            <w:pPr/>
            <w:r>
              <w:t xml:space="preserve">Payer is a listed person, a front for a Cuban business, or a reseller consolidating orders</w:t>
            </w:r>
          </w:p>
        </w:tc>
        <w:tc>
          <w:tcPr>
            <w:tcW w:w="1560" w:type="dxa"/>
          </w:tcPr>
          <w:p>
            <w:pPr/>
            <w:r>
              <w:t xml:space="preserve">Medium</w:t>
            </w:r>
          </w:p>
        </w:tc>
        <w:tc>
          <w:tcPr>
            <w:tcW w:w="1560" w:type="dxa"/>
          </w:tcPr>
          <w:p>
            <w:pPr/>
            <w:r>
              <w:t xml:space="preserve">Payer screening, U.S.-only payment instruments, velocity and aggregation limits (5.3, 5.5)</w:t>
            </w:r>
          </w:p>
        </w:tc>
        <w:tc>
          <w:tcPr>
            <w:tcW w:w="1560" w:type="dxa"/>
          </w:tcPr>
          <w:p>
            <w:pPr/>
            <w:r>
              <w:t xml:space="preserve">Low</w:t>
            </w:r>
          </w:p>
        </w:tc>
      </w:tr>
      <w:tr>
        <w:tc>
          <w:tcPr>
            <w:tcW w:w="1560" w:type="dxa"/>
          </w:tcPr>
          <w:p>
            <w:pPr/>
            <w:r>
              <w:t xml:space="preserve">R5</w:t>
            </w:r>
          </w:p>
        </w:tc>
        <w:tc>
          <w:tcPr>
            <w:tcW w:w="1560" w:type="dxa"/>
          </w:tcPr>
          <w:p>
            <w:pPr/>
            <w:r>
              <w:t xml:space="preserve">Product</w:t>
            </w:r>
          </w:p>
        </w:tc>
        <w:tc>
          <w:tcPr>
            <w:tcW w:w="1560" w:type="dxa"/>
          </w:tcPr>
          <w:p>
            <w:pPr/>
            <w:r>
              <w:t xml:space="preserve">An item is not EAR99, not an agricultural commodity, or not on the AGR eligible list</w:t>
            </w:r>
          </w:p>
        </w:tc>
        <w:tc>
          <w:tcPr>
            <w:tcW w:w="1560" w:type="dxa"/>
          </w:tcPr>
          <w:p>
            <w:pPr/>
            <w:r>
              <w:t xml:space="preserve">Low</w:t>
            </w:r>
          </w:p>
        </w:tc>
        <w:tc>
          <w:tcPr>
            <w:tcW w:w="1560" w:type="dxa"/>
          </w:tcPr>
          <w:p>
            <w:pPr/>
            <w:r>
              <w:t xml:space="preserve">SKU eligibility file before listing (5.2)</w:t>
            </w:r>
          </w:p>
        </w:tc>
        <w:tc>
          <w:tcPr>
            <w:tcW w:w="1560" w:type="dxa"/>
          </w:tcPr>
          <w:p>
            <w:pPr/>
            <w:r>
              <w:t xml:space="preserve">Low</w:t>
            </w:r>
          </w:p>
        </w:tc>
      </w:tr>
      <w:tr>
        <w:tc>
          <w:tcPr>
            <w:tcW w:w="1560" w:type="dxa"/>
          </w:tcPr>
          <w:p>
            <w:pPr/>
            <w:r>
              <w:t xml:space="preserve">R6</w:t>
            </w:r>
          </w:p>
        </w:tc>
        <w:tc>
          <w:tcPr>
            <w:tcW w:w="1560" w:type="dxa"/>
          </w:tcPr>
          <w:p>
            <w:pPr/>
            <w:r>
              <w:t xml:space="preserve">Payment structure</w:t>
            </w:r>
          </w:p>
        </w:tc>
        <w:tc>
          <w:tcPr>
            <w:tcW w:w="1560" w:type="dxa"/>
          </w:tcPr>
          <w:p>
            <w:pPr/>
            <w:r>
              <w:t xml:space="preserve">A value substitution (store credit, cash on delivery, "equivalent value") turns a sale into a funds transfer</w:t>
            </w:r>
          </w:p>
        </w:tc>
        <w:tc>
          <w:tcPr>
            <w:tcW w:w="1560" w:type="dxa"/>
          </w:tcPr>
          <w:p>
            <w:pPr/>
            <w:r>
              <w:t xml:space="preserve">Medium</w:t>
            </w:r>
          </w:p>
        </w:tc>
        <w:tc>
          <w:tcPr>
            <w:tcW w:w="1560" w:type="dxa"/>
          </w:tcPr>
          <w:p>
            <w:pPr/>
            <w:r>
              <w:t xml:space="preserve">Prohibited payment features; terms of sale (5.5)</w:t>
            </w:r>
          </w:p>
        </w:tc>
        <w:tc>
          <w:tcPr>
            <w:tcW w:w="1560" w:type="dxa"/>
          </w:tcPr>
          <w:p>
            <w:pPr/>
            <w:r>
              <w:t xml:space="preserve">Low</w:t>
            </w:r>
          </w:p>
        </w:tc>
      </w:tr>
      <w:tr>
        <w:tc>
          <w:tcPr>
            <w:tcW w:w="1560" w:type="dxa"/>
          </w:tcPr>
          <w:p>
            <w:pPr/>
            <w:r>
              <w:t xml:space="preserve">R7</w:t>
            </w:r>
          </w:p>
        </w:tc>
        <w:tc>
          <w:tcPr>
            <w:tcW w:w="1560" w:type="dxa"/>
          </w:tcPr>
          <w:p>
            <w:pPr/>
            <w:r>
              <w:t xml:space="preserve">Affiliates</w:t>
            </w:r>
          </w:p>
        </w:tc>
        <w:tc>
          <w:tcPr>
            <w:tcW w:w="1560" w:type="dxa"/>
          </w:tcPr>
          <w:p>
            <w:pPr/>
            <w:r>
              <w:t xml:space="preserve">An affiliate markets as a remittance or "envíos" service, or is itself a listed or MSB party</w:t>
            </w:r>
          </w:p>
        </w:tc>
        <w:tc>
          <w:tcPr>
            <w:tcW w:w="1560" w:type="dxa"/>
          </w:tcPr>
          <w:p>
            <w:pPr/>
            <w:r>
              <w:t xml:space="preserve">Medium</w:t>
            </w:r>
          </w:p>
        </w:tc>
        <w:tc>
          <w:tcPr>
            <w:tcW w:w="1560" w:type="dxa"/>
          </w:tcPr>
          <w:p>
            <w:pPr/>
            <w:r>
              <w:t xml:space="preserve">Onboarding screen, approved copy, prohibited-claims exhibit (5.8)</w:t>
            </w:r>
          </w:p>
        </w:tc>
        <w:tc>
          <w:tcPr>
            <w:tcW w:w="1560" w:type="dxa"/>
          </w:tcPr>
          <w:p>
            <w:pPr/>
            <w:r>
              <w:t xml:space="preserve">Low</w:t>
            </w:r>
          </w:p>
        </w:tc>
      </w:tr>
      <w:tr>
        <w:tc>
          <w:tcPr>
            <w:tcW w:w="1560" w:type="dxa"/>
          </w:tcPr>
          <w:p>
            <w:pPr/>
            <w:r>
              <w:t xml:space="preserve">R8</w:t>
            </w:r>
          </w:p>
        </w:tc>
        <w:tc>
          <w:tcPr>
            <w:tcW w:w="1560" w:type="dxa"/>
          </w:tcPr>
          <w:p>
            <w:pPr/>
            <w:r>
              <w:t xml:space="preserve">Regulatory change</w:t>
            </w:r>
          </w:p>
        </w:tc>
        <w:tc>
          <w:tcPr>
            <w:tcW w:w="1560" w:type="dxa"/>
          </w:tcPr>
          <w:p>
            <w:pPr/>
            <w:r>
              <w:t xml:space="preserve">A new designation or rule change makes an in-flight order unauthorized</w:t>
            </w:r>
          </w:p>
        </w:tc>
        <w:tc>
          <w:tcPr>
            <w:tcW w:w="1560" w:type="dxa"/>
          </w:tcPr>
          <w:p>
            <w:pPr/>
            <w:r>
              <w:t xml:space="preserve">High</w:t>
            </w:r>
          </w:p>
        </w:tc>
        <w:tc>
          <w:tcPr>
            <w:tcW w:w="1560" w:type="dxa"/>
          </w:tcPr>
          <w:p>
            <w:pPr/>
            <w:r>
              <w:t xml:space="preserve">Daily monitoring, re-screen on every OFAC Cuba action, hold-before-ship check (5.3, 11)</w:t>
            </w:r>
          </w:p>
        </w:tc>
        <w:tc>
          <w:tcPr>
            <w:tcW w:w="1560" w:type="dxa"/>
          </w:tcPr>
          <w:p>
            <w:pPr/>
            <w:r>
              <w:t xml:space="preserve">Medium</w:t>
            </w:r>
          </w:p>
        </w:tc>
      </w:tr>
      <w:tr>
        <w:tc>
          <w:tcPr>
            <w:tcW w:w="1560" w:type="dxa"/>
          </w:tcPr>
          <w:p>
            <w:pPr/>
            <w:r>
              <w:t xml:space="preserve">R9</w:t>
            </w:r>
          </w:p>
        </w:tc>
        <w:tc>
          <w:tcPr>
            <w:tcW w:w="1560" w:type="dxa"/>
          </w:tcPr>
          <w:p>
            <w:pPr/>
            <w:r>
              <w:t xml:space="preserve">Single-person control</w:t>
            </w:r>
          </w:p>
        </w:tc>
        <w:tc>
          <w:tcPr>
            <w:tcW w:w="1560" w:type="dxa"/>
          </w:tcPr>
          <w:p>
            <w:pPr/>
            <w:r>
              <w:t xml:space="preserve">The SCO clears his own borderline revenue</w:t>
            </w:r>
          </w:p>
        </w:tc>
        <w:tc>
          <w:tcPr>
            <w:tcW w:w="1560" w:type="dxa"/>
          </w:tcPr>
          <w:p>
            <w:pPr/>
            <w:r>
              <w:t xml:space="preserve">Medium</w:t>
            </w:r>
          </w:p>
        </w:tc>
        <w:tc>
          <w:tcPr>
            <w:tcW w:w="1560" w:type="dxa"/>
          </w:tcPr>
          <w:p>
            <w:pPr/>
            <w:r>
              <w:t xml:space="preserve">Hard stops with no override; counsel escalation; annual independent review (2.1, 10)</w:t>
            </w:r>
          </w:p>
        </w:tc>
        <w:tc>
          <w:tcPr>
            <w:tcW w:w="1560" w:type="dxa"/>
          </w:tcPr>
          <w:p>
            <w:pPr/>
            <w:r>
              <w:t xml:space="preserve">Low</w:t>
            </w:r>
          </w:p>
        </w:tc>
      </w:tr>
      <w:tr>
        <w:tc>
          <w:tcPr>
            <w:tcW w:w="1560" w:type="dxa"/>
          </w:tcPr>
          <w:p>
            <w:pPr/>
            <w:r>
              <w:t xml:space="preserve">R10</w:t>
            </w:r>
          </w:p>
        </w:tc>
        <w:tc>
          <w:tcPr>
            <w:tcW w:w="1560" w:type="dxa"/>
          </w:tcPr>
          <w:p>
            <w:pPr/>
            <w:r>
              <w:t xml:space="preserve">Records</w:t>
            </w:r>
          </w:p>
        </w:tc>
        <w:tc>
          <w:tcPr>
            <w:tcW w:w="1560" w:type="dxa"/>
          </w:tcPr>
          <w:p>
            <w:pPr/>
            <w:r>
              <w:t xml:space="preserve">Delivery evidence in Cuba is thin; a file cannot prove what happened</w:t>
            </w:r>
          </w:p>
        </w:tc>
        <w:tc>
          <w:tcPr>
            <w:tcW w:w="1560" w:type="dxa"/>
          </w:tcPr>
          <w:p>
            <w:pPr/>
            <w:r>
              <w:t xml:space="preserve">Medium</w:t>
            </w:r>
          </w:p>
        </w:tc>
        <w:tc>
          <w:tcPr>
            <w:tcW w:w="1560" w:type="dxa"/>
          </w:tcPr>
          <w:p>
            <w:pPr/>
            <w:r>
              <w:t xml:space="preserve">Per-order file standard (7.2)</w:t>
            </w:r>
          </w:p>
        </w:tc>
        <w:tc>
          <w:tcPr>
            <w:tcW w:w="1560" w:type="dxa"/>
          </w:tcPr>
          <w:p>
            <w:pPr/>
            <w:r>
              <w:t xml:space="preserve">Low</w:t>
            </w:r>
          </w:p>
        </w:tc>
      </w:tr>
    </w:tbl>
    <w:p>
      <w:pPr/>
      <w:r>
        <w:rPr>
          <w:b/>
        </w:rPr>
        <w:t xml:space="preserve">R2 is the go/no-go item.</w:t>
      </w:r>
      <w:r>
        <w:t xml:space="preserve"> If counsel cannot conclude that charges paid by the forwarder at a designated terminal are ordinarily incident to an authorized export, no order ships. [COUNSEL]</w:t>
      </w:r>
    </w:p>
    <w:p>
      <w:pPr/>
      <w:r>
        <w:t xml:space="preserve">The SCO re-performs this assessment at least annually, and within 30 days of any trigger in Section 11.2.</w:t>
      </w:r>
    </w:p>
    <w:p>
      <w:pPr>
        <w:pStyle w:val="Heading2"/>
      </w:pPr>
      <w:r>
        <w:t xml:space="preserve">5. Internal controls</w:t>
      </w:r>
    </w:p>
    <w:p>
      <w:pPr/>
      <w:r>
        <w:t xml:space="preserve">No order ships until it has passed six gates in sequence, and a failure at any gate holds the order for the Section 6 decision rather than letting it proceed on judgment.</w:t>
      </w:r>
    </w:p>
    <w:p>
      <w:pPr>
        <w:pStyle w:val="Heading3"/>
      </w:pPr>
      <w:r>
        <w:t xml:space="preserve">5.1 Hard stops — prohibited in every case</w:t>
      </w:r>
    </w:p>
    <w:p>
      <w:pPr/>
      <w:r>
        <w:t xml:space="preserve">An order, supplier, carrier or affiliate that hits any of these is refused. No override (Section 2.1).</w:t>
      </w:r>
    </w:p>
    <w:p>
      <w:pPr>
        <w:pStyle w:val="ListParagraph"/>
        <w:numPr>
          <w:ilvl w:val="0"/>
          <w:numId w:val="7"/>
        </w:numPr>
      </w:pPr>
      <w:r>
        <w:t xml:space="preserve">Any party is a confirmed match to the SDN List, or is owned 50% or more by one or more blocked persons. [LAW; applied as POLICY even where a general license might arguably reach the transaction]</w:t>
      </w:r>
    </w:p>
    <w:p>
      <w:pPr>
        <w:pStyle w:val="ListParagraph"/>
        <w:numPr>
          <w:ilvl w:val="0"/>
          <w:numId w:val="7"/>
        </w:numPr>
      </w:pPr>
      <w:r>
        <w:t xml:space="preserve">Vivara would be the originator or beneficiary of a payment to or from a Cuba Restricted List entity. [LAW — § 515.209]</w:t>
      </w:r>
    </w:p>
    <w:p>
      <w:pPr>
        <w:pStyle w:val="ListParagraph"/>
        <w:numPr>
          <w:ilvl w:val="0"/>
          <w:numId w:val="7"/>
        </w:numPr>
      </w:pPr>
      <w:r>
        <w:t xml:space="preserve">The item is not an EAR99 agricultural commodity eligible for AGR, or no AGR notification without objection covers it. [LAW — § 740.18]</w:t>
      </w:r>
    </w:p>
    <w:p>
      <w:pPr>
        <w:pStyle w:val="ListParagraph"/>
        <w:numPr>
          <w:ilvl w:val="0"/>
          <w:numId w:val="7"/>
        </w:numPr>
      </w:pPr>
      <w:r>
        <w:t xml:space="preserve">Payment has not settled before the goods leave Vivara's control, or arrives by any route other than card or ACH from a U.S. account. [LAW for timing — § 515.533(a); POLICY for the rail]</w:t>
      </w:r>
    </w:p>
    <w:p>
      <w:pPr>
        <w:pStyle w:val="ListParagraph"/>
        <w:numPr>
          <w:ilvl w:val="0"/>
          <w:numId w:val="7"/>
        </w:numPr>
      </w:pPr>
      <w:r>
        <w:t xml:space="preserve">The recipient is a Cuban state entity, military, police or party address, or a business. [POLICY for Phase 1]</w:t>
      </w:r>
    </w:p>
    <w:p>
      <w:pPr>
        <w:pStyle w:val="ListParagraph"/>
        <w:numPr>
          <w:ilvl w:val="0"/>
          <w:numId w:val="7"/>
        </w:numPr>
      </w:pPr>
      <w:r>
        <w:t xml:space="preserve">The payer is outside the United States, or pays with a non-U.S.-issued card or account. [POLICY]</w:t>
      </w:r>
    </w:p>
    <w:p>
      <w:pPr>
        <w:pStyle w:val="ListParagraph"/>
        <w:numPr>
          <w:ilvl w:val="0"/>
          <w:numId w:val="7"/>
        </w:numPr>
      </w:pPr>
      <w:r>
        <w:t xml:space="preserve">Any value would reach a Cuban party other than as Vivara's goods: store credit, cash on delivery, substitution chosen by the recipient, "equivalent value," or a cash refund to anyone but the original payer. [POLICY — protects the MSB position]</w:t>
      </w:r>
    </w:p>
    <w:p>
      <w:pPr>
        <w:pStyle w:val="ListParagraph"/>
        <w:numPr>
          <w:ilvl w:val="0"/>
          <w:numId w:val="7"/>
        </w:numPr>
      </w:pPr>
      <w:r>
        <w:t xml:space="preserve">The order mixes Model A goods with anything sourced inside Cuba, or with Entity 2 goods. [POLICY]</w:t>
      </w:r>
    </w:p>
    <w:p>
      <w:pPr>
        <w:pStyle w:val="ListParagraph"/>
        <w:numPr>
          <w:ilvl w:val="0"/>
          <w:numId w:val="7"/>
        </w:numPr>
      </w:pPr>
      <w:r>
        <w:t xml:space="preserve">Any party proposes crypto, a third-country account, or settlement in merchandise. [POLICY]</w:t>
      </w:r>
    </w:p>
    <w:p>
      <w:pPr>
        <w:pStyle w:val="Heading3"/>
      </w:pPr>
      <w:r>
        <w:t xml:space="preserve">5.2 Product and export authorization controls</w:t>
      </w:r>
    </w:p>
    <w:p>
      <w:pPr>
        <w:pStyle w:val="ListParagraph"/>
        <w:numPr>
          <w:ilvl w:val="0"/>
          <w:numId w:val="8"/>
        </w:numPr>
      </w:pPr>
      <w:r>
        <w:rPr>
          <w:b/>
        </w:rPr>
        <w:t xml:space="preserve">SKU eligibility file.</w:t>
      </w:r>
      <w:r>
        <w:t xml:space="preserve"> Before a product is listed for sale, the SCO records: the product, supplier, country of origin, the basis for EAR99 status, and where it appears on USDA's AGR-eligible commodity list. No file, no listing. [LAW — § 740.18(b); records POLICY]</w:t>
      </w:r>
    </w:p>
    <w:p>
      <w:pPr>
        <w:pStyle w:val="ListParagraph"/>
        <w:numPr>
          <w:ilvl w:val="0"/>
          <w:numId w:val="8"/>
        </w:numPr>
      </w:pPr>
      <w:r>
        <w:rPr>
          <w:b/>
        </w:rPr>
        <w:t xml:space="preserve">Origin.</w:t>
      </w:r>
      <w:r>
        <w:t xml:space="preserve"> Vivara lists U.S.-origin products only until counsel confirms how foreign-origin food held in U.S. inventory is treated. [COUNSEL]</w:t>
      </w:r>
    </w:p>
    <w:p>
      <w:pPr>
        <w:pStyle w:val="ListParagraph"/>
        <w:numPr>
          <w:ilvl w:val="0"/>
          <w:numId w:val="8"/>
        </w:numPr>
      </w:pPr>
      <w:r>
        <w:rPr>
          <w:b/>
        </w:rPr>
        <w:t xml:space="preserve">AGR notification log.</w:t>
      </w:r>
      <w:r>
        <w:t xml:space="preserve"> One row per SNAP-R notification: registration number, date registered, date BIS confirmed no objection, commodities covered, consignee description, and the contract/export windows (sign within 12 months of authorization; export within 12 months of the contract). An order may only ship against a notification that is in date and lists that commodity. [LAW]</w:t>
      </w:r>
    </w:p>
    <w:p>
      <w:pPr>
        <w:pStyle w:val="ListParagraph"/>
        <w:numPr>
          <w:ilvl w:val="0"/>
          <w:numId w:val="8"/>
        </w:numPr>
      </w:pPr>
      <w:r>
        <w:rPr>
          <w:b/>
        </w:rPr>
        <w:t xml:space="preserve">Written contract.</w:t>
      </w:r>
      <w:r>
        <w:t xml:space="preserve"> Each order's accepted terms of sale plus the order confirmation form the written contract AGR requires. Whether a checkout contract with a U.S. buyer satisfies § 740.18 when the consignee is a Cuban household is a counsel question, as is whether one notification may cover many household consignees. [COUNSEL]</w:t>
      </w:r>
    </w:p>
    <w:p>
      <w:pPr>
        <w:pStyle w:val="ListParagraph"/>
        <w:numPr>
          <w:ilvl w:val="0"/>
          <w:numId w:val="8"/>
        </w:numPr>
      </w:pPr>
      <w:r>
        <w:rPr>
          <w:b/>
        </w:rPr>
        <w:t xml:space="preserve">Export filing.</w:t>
      </w:r>
      <w:r>
        <w:t xml:space="preserve"> EEI is filed in AES for every Cuba shipment, regardless of value, with Vivara as USPPI, the household recipient as ultimate consignee, and the AGR license-exception code. If the forwarder files, it does so under a signed written authorization from Vivara (15 CFR § 30.3). [LAW]</w:t>
      </w:r>
    </w:p>
    <w:p>
      <w:pPr>
        <w:pStyle w:val="Heading3"/>
      </w:pPr>
      <w:r>
        <w:t xml:space="preserve">5.3 Screening</w:t>
      </w:r>
    </w:p>
    <w:p>
      <w:pPr/>
      <w:r>
        <w:rPr>
          <w:b/>
        </w:rPr>
        <w:t xml:space="preserve">Who is screened:</w:t>
      </w:r>
      <w:r>
        <w:t xml:space="preserve"> the payer; the recipient; every supplier; the logistics provider and each Cuban-side party it names (port agent, customs broker, last-mile courier, and their settlement bank); every affiliate; and any bank or processor that is not a U.S. institution.</w:t>
      </w:r>
    </w:p>
    <w:p>
      <w:pPr/>
      <w:r>
        <w:rPr>
          <w:b/>
        </w:rPr>
        <w:t xml:space="preserve">Against what: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List</w:t>
            </w:r>
          </w:p>
        </w:tc>
        <w:tc>
          <w:tcPr>
            <w:tcW w:w="3120" w:type="dxa"/>
            <w:shd w:val="clear" w:color="auto" w:fill="F2F2F2"/>
          </w:tcPr>
          <w:p>
            <w:pPr/>
            <w:r>
              <w:t xml:space="preserve">Where</w:t>
            </w:r>
          </w:p>
        </w:tc>
        <w:tc>
          <w:tcPr>
            <w:tcW w:w="3120" w:type="dxa"/>
            <w:shd w:val="clear" w:color="auto" w:fill="F2F2F2"/>
          </w:tcPr>
          <w:p>
            <w:pPr/>
            <w:r>
              <w:t xml:space="preserve">Why</w:t>
            </w:r>
          </w:p>
        </w:tc>
      </w:tr>
      <w:tr>
        <w:tc>
          <w:tcPr>
            <w:tcW w:w="3120" w:type="dxa"/>
          </w:tcPr>
          <w:p>
            <w:pPr/>
            <w:r>
              <w:t xml:space="preserve">SDN List (all programs, including CUBA and CUBA-EO14404 tags)</w:t>
            </w:r>
          </w:p>
        </w:tc>
        <w:tc>
          <w:tcPr>
            <w:tcW w:w="3120" w:type="dxa"/>
          </w:tcPr>
          <w:p>
            <w:pPr/>
            <w:hyperlink r:id="rId19" w:history="1">
              <w:r>
                <w:rPr>
                  <w:rStyle w:val="Hyperlink"/>
                </w:rPr>
                <w:t xml:space="preserve">OFAC Sanctions List Search</w:t>
              </w:r>
            </w:hyperlink>
          </w:p>
        </w:tc>
        <w:tc>
          <w:tcPr>
            <w:tcW w:w="3120" w:type="dxa"/>
          </w:tcPr>
          <w:p>
            <w:pPr/>
            <w:r>
              <w:t xml:space="preserve">Blocked persons [LAW]</w:t>
            </w:r>
          </w:p>
        </w:tc>
      </w:tr>
      <w:tr>
        <w:tc>
          <w:tcPr>
            <w:tcW w:w="3120" w:type="dxa"/>
          </w:tcPr>
          <w:p>
            <w:pPr/>
            <w:r>
              <w:t xml:space="preserve">Cuba Restricted List</w:t>
            </w:r>
          </w:p>
        </w:tc>
        <w:tc>
          <w:tcPr>
            <w:tcW w:w="3120" w:type="dxa"/>
          </w:tcPr>
          <w:p>
            <w:pPr/>
            <w:r>
              <w:t xml:space="preserve">State Department's published list</w:t>
            </w:r>
          </w:p>
        </w:tc>
        <w:tc>
          <w:tcPr>
            <w:tcW w:w="3120" w:type="dxa"/>
          </w:tcPr>
          <w:p>
            <w:pPr/>
            <w:r>
              <w:t xml:space="preserve">No direct financial transactions [LAW]</w:t>
            </w:r>
          </w:p>
        </w:tc>
      </w:tr>
      <w:tr>
        <w:tc>
          <w:tcPr>
            <w:tcW w:w="3120" w:type="dxa"/>
          </w:tcPr>
          <w:p>
            <w:pPr/>
            <w:r>
              <w:t xml:space="preserve">Entity List, Denied Persons List, Unverified List</w:t>
            </w:r>
          </w:p>
        </w:tc>
        <w:tc>
          <w:tcPr>
            <w:tcW w:w="3120" w:type="dxa"/>
          </w:tcPr>
          <w:p>
            <w:pPr/>
            <w:hyperlink r:id="rId20" w:history="1">
              <w:r>
                <w:rPr>
                  <w:rStyle w:val="Hyperlink"/>
                </w:rPr>
                <w:t xml:space="preserve">Trade.gov Consolidated Screening List</w:t>
              </w:r>
            </w:hyperlink>
          </w:p>
        </w:tc>
        <w:tc>
          <w:tcPr>
            <w:tcW w:w="3120" w:type="dxa"/>
          </w:tcPr>
          <w:p>
            <w:pPr/>
            <w:r>
              <w:t xml:space="preserve">EAR restrictions [LAW]</w:t>
            </w:r>
          </w:p>
        </w:tc>
      </w:tr>
      <w:tr>
        <w:tc>
          <w:tcPr>
            <w:tcW w:w="3120" w:type="dxa"/>
          </w:tcPr>
          <w:p>
            <w:pPr/>
            <w:r>
              <w:t xml:space="preserve">Known GAESA/MININT/MINFAR subsidiaries not yet listed</w:t>
            </w:r>
          </w:p>
        </w:tc>
        <w:tc>
          <w:tcPr>
            <w:tcW w:w="3120" w:type="dxa"/>
          </w:tcPr>
          <w:p>
            <w:pPr/>
            <w:r>
              <w:t xml:space="preserve">Open-source ownership research, logged</w:t>
            </w:r>
          </w:p>
        </w:tc>
        <w:tc>
          <w:tcPr>
            <w:tcW w:w="3120" w:type="dxa"/>
          </w:tcPr>
          <w:p>
            <w:pPr/>
            <w:r>
              <w:t xml:space="preserve">50% rule exposure (</w:t>
            </w:r>
            <w:hyperlink r:id="rId12" w:history="1">
              <w:r>
                <w:rPr>
                  <w:rStyle w:val="Hyperlink"/>
                </w:rPr>
                <w:t xml:space="preserve">FAQ 1258</w:t>
              </w:r>
            </w:hyperlink>
            <w:r>
              <w:t xml:space="preserve">) [POLICY]</w:t>
            </w:r>
          </w:p>
        </w:tc>
      </w:tr>
    </w:tbl>
    <w:p>
      <w:pPr/>
      <w:r>
        <w:rPr>
          <w:b/>
        </w:rPr>
        <w:t xml:space="preserve">When:</w:t>
      </w:r>
    </w:p>
    <w:p>
      <w:pPr>
        <w:pStyle w:val="ListParagraph"/>
        <w:numPr>
          <w:ilvl w:val="0"/>
          <w:numId w:val="9"/>
        </w:numPr>
      </w:pPr>
      <w:r>
        <w:t xml:space="preserve">At onboarding (suppliers, forwarder, affiliates) and at every order (payer, recipient).</w:t>
      </w:r>
    </w:p>
    <w:p>
      <w:pPr>
        <w:pStyle w:val="ListParagraph"/>
        <w:numPr>
          <w:ilvl w:val="0"/>
          <w:numId w:val="9"/>
        </w:numPr>
      </w:pPr>
      <w:r>
        <w:t xml:space="preserve">Again within 1 business day before goods are handed to the forwarder (Gate 5).</w:t>
      </w:r>
    </w:p>
    <w:p>
      <w:pPr>
        <w:pStyle w:val="ListParagraph"/>
        <w:numPr>
          <w:ilvl w:val="0"/>
          <w:numId w:val="9"/>
        </w:numPr>
      </w:pPr>
      <w:r>
        <w:t xml:space="preserve">The whole book — open orders, the last 12 months of recipients, all counterparties — re-screened within 1 business day of any OFAC Cuba-related action, and at least weekly. [POLICY]</w:t>
      </w:r>
    </w:p>
    <w:p>
      <w:pPr/>
      <w:r>
        <w:rPr>
          <w:b/>
        </w:rPr>
        <w:t xml:space="preserve">How:</w:t>
      </w:r>
      <w:r>
        <w:t xml:space="preserve"> search the full name, each surname alone, both surnames together, and with and without accents (Cuban names carry two surnames and are often transliterated inconsistently). Use address and date of birth to discount false positives. Save a dated screenshot or export of every result, including "no match," to the order file.</w:t>
      </w:r>
    </w:p>
    <w:p>
      <w:pPr>
        <w:pStyle w:val="Heading3"/>
      </w:pPr>
      <w:r>
        <w:t xml:space="preserve">5.4 Recipient verification (households)</w:t>
      </w:r>
    </w:p>
    <w:p>
      <w:pPr/>
      <w:r>
        <w:t xml:space="preserve">Required before an order is accepted: recipient's full legal name with both surnames, residential street address in Cuba, phone number, Cuban national ID number (carné de identidad) where the forwarder requires it for customs, the payer's stated relationship to the recipient, and a checkout attestation that the goods are for the household's own consumption, not resale. [POLICY]</w:t>
      </w:r>
    </w:p>
    <w:p>
      <w:pPr/>
      <w:r>
        <w:t xml:space="preserve">The SCO reviews the address for signs it is not a home: a ministry, state enterprise, military unit, police station, party office, hotel, or shop. Any such sign is a hard stop under 5.1(5).</w:t>
      </w:r>
    </w:p>
    <w:p>
      <w:pPr/>
      <w:r>
        <w:t xml:space="preserve">Per-household limits cap quantities at what a household consumes; the numbers are set in the SKU file and reviewed quarterly. A recipient receiving orders from three or more unrelated payers in 30 days is escalated as a possible reseller. [POLICY]</w:t>
      </w:r>
    </w:p>
    <w:p>
      <w:pPr>
        <w:pStyle w:val="Heading3"/>
      </w:pPr>
      <w:r>
        <w:t xml:space="preserve">5.5 Payment controls</w:t>
      </w:r>
    </w:p>
    <w:p>
      <w:pPr/>
      <w:r>
        <w:rPr>
          <w:b/>
        </w:rPr>
        <w:t xml:space="preserve">Money in:</w:t>
      </w:r>
    </w:p>
    <w:p>
      <w:pPr>
        <w:pStyle w:val="ListParagraph"/>
        <w:numPr>
          <w:ilvl w:val="0"/>
          <w:numId w:val="10"/>
        </w:numPr>
      </w:pPr>
      <w:r>
        <w:t xml:space="preserve">Card through a high-risk acquirer, or ACH, both underwritten with full written disclosure of the Cuba business. Nothing else. [POLICY]</w:t>
      </w:r>
    </w:p>
    <w:p>
      <w:pPr>
        <w:pStyle w:val="ListParagraph"/>
        <w:numPr>
          <w:ilvl w:val="0"/>
          <w:numId w:val="10"/>
        </w:numPr>
      </w:pPr>
      <w:r>
        <w:t xml:space="preserve">Cardholder or account-holder name must match the payer; billing address in the U.S.; card BIN issued in the U.S. No third-party payers. [POLICY]</w:t>
      </w:r>
    </w:p>
    <w:p>
      <w:pPr>
        <w:pStyle w:val="ListParagraph"/>
        <w:numPr>
          <w:ilvl w:val="0"/>
          <w:numId w:val="10"/>
        </w:numPr>
      </w:pPr>
      <w:r>
        <w:t xml:space="preserve">Payment is captured and settled before goods are released to the forwarder. Terms of sale state that title passes to the buyer only after payment. [LAW — cash in advance under § 515.533(a) and 22 U.S.C. § 7207(b)]</w:t>
      </w:r>
    </w:p>
    <w:p>
      <w:pPr>
        <w:pStyle w:val="ListParagraph"/>
        <w:numPr>
          <w:ilvl w:val="0"/>
          <w:numId w:val="10"/>
        </w:numPr>
      </w:pPr>
      <w:r>
        <w:t xml:space="preserve">Refunds go only to the original payment instrument, and never to a party held under Section 6 until the SCO decides. [POLICY; LAW where the party is blocked]</w:t>
      </w:r>
    </w:p>
    <w:p>
      <w:pPr>
        <w:pStyle w:val="ListParagraph"/>
        <w:numPr>
          <w:ilvl w:val="0"/>
          <w:numId w:val="10"/>
        </w:numPr>
      </w:pPr>
      <w:r>
        <w:t xml:space="preserve">No store credit, gift balances, or transferable vouchers. Out-of-stock items are refunded, not substituted at the recipient's choice. [POLICY]</w:t>
      </w:r>
    </w:p>
    <w:p>
      <w:pPr/>
      <w:r>
        <w:rPr>
          <w:b/>
        </w:rPr>
        <w:t xml:space="preserve">Money out:</w:t>
      </w:r>
      <w:r>
        <w:t xml:space="preserve"> Vivara pays only U.S.-domiciled suppliers and one U.S.-domiciled logistics provider, in USD, from its U.S. operating account, against an invoice. No payment by Vivara leaves the United States or goes to a Cuban party. [POLICY]</w:t>
      </w:r>
    </w:p>
    <w:p>
      <w:pPr>
        <w:pStyle w:val="Heading3"/>
      </w:pPr>
      <w:r>
        <w:t xml:space="preserve">5.6 The six gates for every order</w:t>
      </w:r>
    </w:p>
    <w:p>
      <w:pPr/>
      <w:r>
        <w:t xml:space="preserve">The gates run in order; the order file (Section 7.2) records the date and result of each.</w:t>
      </w:r>
    </w:p>
    <w:p>
      <w:pPr/>
      <w:r>
        <w:drawing>
          <wp:inline distT="0" distB="0" distL="0" distR="0">
            <wp:extent cx="5486400" cy="4441371"/>
            <wp:docPr id="1" name="image1" descr="Per-order control gates · 6 gates, 1 hold path"/>
            <a:graphic xmlns:a="http://schemas.openxmlformats.org/drawingml/2006/main">
              <a:graphicData uri="http://schemas.openxmlformats.org/drawingml/2006/picture">
                <pic:pic xmlns:pic="http://schemas.openxmlformats.org/drawingml/2006/picture">
                  <pic:nvPicPr>
                    <pic:cNvPr id="1" name="image1" descr="Per-order control gates · 6 gates, 1 hold path"/>
                    <pic:cNvPicPr/>
                  </pic:nvPicPr>
                  <pic:blipFill>
                    <a:blip r:embed="rId21"/>
                    <a:stretch>
                      <a:fillRect/>
                    </a:stretch>
                  </pic:blipFill>
                  <pic:spPr>
                    <a:xfrm>
                      <a:off x="0" y="0"/>
                      <a:ext cx="5486400" cy="4441371"/>
                    </a:xfrm>
                    <a:prstGeom prst="rect">
                      <a:avLst/>
                    </a:prstGeom>
                  </pic:spPr>
                </pic:pic>
              </a:graphicData>
            </a:graphic>
          </wp:inline>
        </w:drawing>
      </w:r>
    </w:p>
    <w:p>
      <w:pPr/>
      <w:r>
        <w:t xml:space="preserve">Per-order control gates · 6 gates, 1 hold path</w:t>
      </w:r>
    </w:p>
    <w:p>
      <w:pPr/>
      <w:r>
        <w:t xml:space="preserve">Gates 2 and 5 are the same screen run twice on purpose: a designation can land between checkout and handover, and the second run is the one that decides whether goods move.</w:t>
      </w:r>
    </w:p>
    <w:p>
      <w:pPr>
        <w:pStyle w:val="Heading3"/>
      </w:pPr>
      <w:r>
        <w:t xml:space="preserve">5.7 Logistics provider and supplier diligence</w:t>
      </w:r>
    </w:p>
    <w:p>
      <w:pPr/>
      <w:r>
        <w:rPr>
          <w:b/>
        </w:rPr>
        <w:t xml:space="preserve">Logistics provider</w:t>
      </w:r>
      <w:r>
        <w:t xml:space="preserve"> — approved by the SCO before the first shipment and re-reviewed annually or on any designation in its chain. Required in writing:</w:t>
      </w:r>
    </w:p>
    <w:p>
      <w:pPr>
        <w:pStyle w:val="ListParagraph"/>
        <w:numPr>
          <w:ilvl w:val="0"/>
          <w:numId w:val="11"/>
        </w:numPr>
      </w:pPr>
      <w:r>
        <w:t xml:space="preserve">It is U.S.-domiciled and will invoice Vivara in USD, domestically, for door-to-door delivery, with every Cuban-side charge inside its rate.</w:t>
      </w:r>
    </w:p>
    <w:p>
      <w:pPr>
        <w:pStyle w:val="ListParagraph"/>
        <w:numPr>
          <w:ilvl w:val="0"/>
          <w:numId w:val="11"/>
        </w:numPr>
      </w:pPr>
      <w:r>
        <w:t xml:space="preserve">It names its Cuban-side partners (port agent, customs broker, last-mile courier) and the banks it settles through, so Vivara can screen them.</w:t>
      </w:r>
    </w:p>
    <w:p>
      <w:pPr>
        <w:pStyle w:val="ListParagraph"/>
        <w:numPr>
          <w:ilvl w:val="0"/>
          <w:numId w:val="11"/>
        </w:numPr>
      </w:pPr>
      <w:r>
        <w:t xml:space="preserve">It represents that it makes no direct financial transaction with a CRL entity and no dealing with a blocked person except as authorized by OFAC, and explains which authorization it relies on for port and terminal charges.</w:t>
      </w:r>
    </w:p>
    <w:p>
      <w:pPr>
        <w:pStyle w:val="ListParagraph"/>
        <w:numPr>
          <w:ilvl w:val="0"/>
          <w:numId w:val="11"/>
        </w:numPr>
      </w:pPr>
      <w:r>
        <w:t xml:space="preserve">It notifies Vivara within 2 business days of any designation, license question, or government inquiry touching its Cuba service, and gives Vivara reasonable information rights.</w:t>
      </w:r>
    </w:p>
    <w:p>
      <w:pPr>
        <w:pStyle w:val="ListParagraph"/>
        <w:numPr>
          <w:ilvl w:val="0"/>
          <w:numId w:val="11"/>
        </w:numPr>
      </w:pPr>
      <w:r>
        <w:t xml:space="preserve">It confirms whether it still has carrier capacity to Cuba, on which vessel operator, and through which port.</w:t>
      </w:r>
    </w:p>
    <w:p>
      <w:pPr/>
      <w:r>
        <w:rPr>
          <w:b/>
        </w:rPr>
        <w:t xml:space="preserve">Suppliers</w:t>
      </w:r>
      <w:r>
        <w:t xml:space="preserve"> — U.S. businesses only, screened at onboarding and annually, with country of origin confirmed on invoice or specification sheet for each SKU.</w:t>
      </w:r>
    </w:p>
    <w:p>
      <w:pPr>
        <w:pStyle w:val="Heading3"/>
      </w:pPr>
      <w:r>
        <w:t xml:space="preserve">5.8 Affiliates and referral partners</w:t>
      </w:r>
    </w:p>
    <w:p>
      <w:pPr/>
      <w:r>
        <w:t xml:space="preserve">Affiliates are screened at onboarding and before each payment cycle, sign the representations and prohibited-claims exhibit already set out in the affiliate terms (no "envíos," "remesas," "send," or "licensed by OFAC"; approved copy only), never handle customer money or goods, and are terminated on any violation. [POLICY]</w:t>
      </w:r>
    </w:p>
    <w:p>
      <w:pPr>
        <w:pStyle w:val="Heading3"/>
      </w:pPr>
      <w:r>
        <w:t xml:space="preserve">5.9 Keeping Model A separate</w:t>
      </w:r>
    </w:p>
    <w:p>
      <w:pPr/>
      <w:r>
        <w:t xml:space="preserve">Any proposal to sell Cuba-sourced goods, pre-position inventory in Cuba, let a Cuban business sell through the site, add non-food lines, or pay a Cuban contractor is a Program change under Section 11. It requires counsel review, a revised risk assessment, and advance notice to the bank before a single transaction. [POLICY]</w:t>
      </w:r>
    </w:p>
    <w:p>
      <w:pPr>
        <w:pStyle w:val="Heading2"/>
      </w:pPr>
      <w:r>
        <w:t xml:space="preserve">6. Red flags, holds and escalation</w:t>
      </w:r>
    </w:p>
    <w:p>
      <w:pPr/>
      <w:r>
        <w:t xml:space="preserve">A hit is never resolved by shipping and hoping: every hit freezes the order, gets a written decision within 2 business days, and ends in one of three outcomes — clear, reject, or block. The red-flag list itself is Appendix C.</w:t>
      </w:r>
    </w:p>
    <w:p>
      <w:pPr>
        <w:pStyle w:val="Heading3"/>
      </w:pPr>
      <w:r>
        <w:t xml:space="preserve">6.1 Procedure</w:t>
      </w:r>
    </w:p>
    <w:p>
      <w:pPr>
        <w:pStyle w:val="ListParagraph"/>
        <w:numPr>
          <w:ilvl w:val="0"/>
          <w:numId w:val="12"/>
        </w:numPr>
      </w:pPr>
      <w:r>
        <w:rPr>
          <w:b/>
        </w:rPr>
        <w:t xml:space="preserve">Hold.</w:t>
      </w:r>
      <w:r>
        <w:t xml:space="preserve"> Stop the order at whatever gate it reached. No shipment, no refund, no substitution. Tell the customer only that the order is under compliance review. [POLICY]</w:t>
      </w:r>
    </w:p>
    <w:p>
      <w:pPr>
        <w:pStyle w:val="ListParagraph"/>
        <w:numPr>
          <w:ilvl w:val="0"/>
          <w:numId w:val="12"/>
        </w:numPr>
      </w:pPr>
      <w:r>
        <w:rPr>
          <w:b/>
        </w:rPr>
        <w:t xml:space="preserve">Adjudicate a potential list match</w:t>
      </w:r>
      <w:r>
        <w:t xml:space="preserve"> within 2 business days by comparing every available identifier: full name and both surnames, date of birth, address, nationality, ID number, the program tag, and the remarks field of the listing. [POLICY]</w:t>
      </w:r>
    </w:p>
    <w:p>
      <w:pPr>
        <w:pStyle w:val="ListParagraph"/>
        <w:numPr>
          <w:ilvl w:val="0"/>
          <w:numId w:val="12"/>
        </w:numPr>
      </w:pPr>
      <w:r>
        <w:rPr>
          <w:b/>
        </w:rPr>
        <w:t xml:space="preserve">Clear a false positive</w:t>
      </w:r>
      <w:r>
        <w:t xml:space="preserve"> with a short written reason naming the identifiers that differ. Record the cleared party so the next order is faster, but re-adjudicate if the list entry changes. [POLICY]</w:t>
      </w:r>
    </w:p>
    <w:p>
      <w:pPr>
        <w:pStyle w:val="ListParagraph"/>
        <w:numPr>
          <w:ilvl w:val="0"/>
          <w:numId w:val="12"/>
        </w:numPr>
      </w:pPr>
      <w:r>
        <w:rPr>
          <w:b/>
        </w:rPr>
        <w:t xml:space="preserve">Escalate to counsel the same day</w:t>
      </w:r>
      <w:r>
        <w:t xml:space="preserve"> if the match is confirmed, the party appears to be 50%-owned by a blocked person, or the match is still unresolved after 2 business days. [POLICY]</w:t>
      </w:r>
    </w:p>
    <w:p>
      <w:pPr>
        <w:pStyle w:val="ListParagraph"/>
        <w:numPr>
          <w:ilvl w:val="0"/>
          <w:numId w:val="12"/>
        </w:numPr>
      </w:pPr>
      <w:r>
        <w:rPr>
          <w:b/>
        </w:rPr>
        <w:t xml:space="preserve">Decide with counsel: reject or block.</w:t>
      </w:r>
    </w:p>
    <w:p>
      <w:pPr>
        <w:pStyle w:val="ListParagraph"/>
        <w:numPr>
          <w:ilvl w:val="1"/>
          <w:numId w:val="13"/>
        </w:numPr>
      </w:pPr>
      <w:r>
        <w:rPr>
          <w:i/>
        </w:rPr>
        <w:t xml:space="preserve">Reject</w:t>
      </w:r>
      <w:r>
        <w:t xml:space="preserve"> when Vivara holds nothing in which a blocked or restricted party has an interest (for example, an order stopped before payment settled). If the rejection falls within 31 CFR § 501.604, file a rejected-transaction report within 10 business days. [LAW]</w:t>
      </w:r>
    </w:p>
    <w:p>
      <w:pPr>
        <w:pStyle w:val="ListParagraph"/>
        <w:numPr>
          <w:ilvl w:val="1"/>
          <w:numId w:val="13"/>
        </w:numPr>
      </w:pPr>
      <w:r>
        <w:rPr>
          <w:i/>
        </w:rPr>
        <w:t xml:space="preserve">Block</w:t>
      </w:r>
      <w:r>
        <w:t xml:space="preserve"> when Vivara holds funds or goods in which a blocked person has an interest. Do not refund, ship, or return the goods. Hold the funds as counsel directs in a blocked, interest-bearing account at a U.S. financial institution and file the blocked-property report within 10 business days under § 501.603. [LAW]</w:t>
      </w:r>
    </w:p>
    <w:p>
      <w:pPr>
        <w:pStyle w:val="ListParagraph"/>
        <w:numPr>
          <w:ilvl w:val="1"/>
          <w:numId w:val="13"/>
        </w:numPr>
      </w:pPr>
      <w:r>
        <w:t xml:space="preserve">A refund to a blocked person is itself a prohibited transfer. Never refund to clear the problem. [LAW]</w:t>
      </w:r>
    </w:p>
    <w:p>
      <w:pPr>
        <w:pStyle w:val="ListParagraph"/>
        <w:numPr>
          <w:ilvl w:val="0"/>
          <w:numId w:val="12"/>
        </w:numPr>
      </w:pPr>
      <w:r>
        <w:rPr>
          <w:b/>
        </w:rPr>
        <w:t xml:space="preserve">Red flag with no list match.</w:t>
      </w:r>
      <w:r>
        <w:t xml:space="preserve"> The SCO asks the customer for the missing facts in writing. A consistent, documented answer clears the order; anything else is a rejection, and the customer goes on the internal do-not-sell list. [POLICY]</w:t>
      </w:r>
    </w:p>
    <w:p>
      <w:pPr>
        <w:pStyle w:val="ListParagraph"/>
        <w:numPr>
          <w:ilvl w:val="0"/>
          <w:numId w:val="12"/>
        </w:numPr>
      </w:pPr>
      <w:r>
        <w:rPr>
          <w:b/>
        </w:rPr>
        <w:t xml:space="preserve">Tell the bank.</w:t>
      </w:r>
      <w:r>
        <w:t xml:space="preserve"> After any blocking, any OFAC report, or any government inquiry, the SCO informs the bank's relationship manager in writing once counsel agrees on the wording. The bank will see the activity anyway; hearing it first from Vivara is what keeps the account. [POLICY]</w:t>
      </w:r>
    </w:p>
    <w:p>
      <w:pPr>
        <w:pStyle w:val="Heading3"/>
      </w:pPr>
      <w:r>
        <w:t xml:space="preserve">6.2 Who decides, by when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Situation</w:t>
            </w:r>
          </w:p>
        </w:tc>
        <w:tc>
          <w:tcPr>
            <w:tcW w:w="2340" w:type="dxa"/>
            <w:shd w:val="clear" w:color="auto" w:fill="F2F2F2"/>
          </w:tcPr>
          <w:p>
            <w:pPr/>
            <w:r>
              <w:t xml:space="preserve">Decides</w:t>
            </w:r>
          </w:p>
        </w:tc>
        <w:tc>
          <w:tcPr>
            <w:tcW w:w="2340" w:type="dxa"/>
            <w:shd w:val="clear" w:color="auto" w:fill="F2F2F2"/>
          </w:tcPr>
          <w:p>
            <w:pPr/>
            <w:r>
              <w:t xml:space="preserve">Deadline</w:t>
            </w:r>
          </w:p>
        </w:tc>
        <w:tc>
          <w:tcPr>
            <w:tcW w:w="2340" w:type="dxa"/>
            <w:shd w:val="clear" w:color="auto" w:fill="F2F2F2"/>
          </w:tcPr>
          <w:p>
            <w:pPr/>
            <w:r>
              <w:t xml:space="preserve">Record kept</w:t>
            </w:r>
          </w:p>
        </w:tc>
      </w:tr>
      <w:tr>
        <w:tc>
          <w:tcPr>
            <w:tcW w:w="2340" w:type="dxa"/>
          </w:tcPr>
          <w:p>
            <w:pPr/>
            <w:r>
              <w:t xml:space="preserve">Potential match, resolved as false positive</w:t>
            </w:r>
          </w:p>
        </w:tc>
        <w:tc>
          <w:tcPr>
            <w:tcW w:w="2340" w:type="dxa"/>
          </w:tcPr>
          <w:p>
            <w:pPr/>
            <w:r>
              <w:t xml:space="preserve">SCO</w:t>
            </w:r>
          </w:p>
        </w:tc>
        <w:tc>
          <w:tcPr>
            <w:tcW w:w="2340" w:type="dxa"/>
          </w:tcPr>
          <w:p>
            <w:pPr/>
            <w:r>
              <w:t xml:space="preserve">2 business days</w:t>
            </w:r>
          </w:p>
        </w:tc>
        <w:tc>
          <w:tcPr>
            <w:tcW w:w="2340" w:type="dxa"/>
          </w:tcPr>
          <w:p>
            <w:pPr/>
            <w:r>
              <w:t xml:space="preserve">Adjudication note in order file</w:t>
            </w:r>
          </w:p>
        </w:tc>
      </w:tr>
      <w:tr>
        <w:tc>
          <w:tcPr>
            <w:tcW w:w="2340" w:type="dxa"/>
          </w:tcPr>
          <w:p>
            <w:pPr/>
            <w:r>
              <w:t xml:space="preserve">Potential match not resolved</w:t>
            </w:r>
          </w:p>
        </w:tc>
        <w:tc>
          <w:tcPr>
            <w:tcW w:w="2340" w:type="dxa"/>
          </w:tcPr>
          <w:p>
            <w:pPr/>
            <w:r>
              <w:t xml:space="preserve">Counsel</w:t>
            </w:r>
          </w:p>
        </w:tc>
        <w:tc>
          <w:tcPr>
            <w:tcW w:w="2340" w:type="dxa"/>
          </w:tcPr>
          <w:p>
            <w:pPr/>
            <w:r>
              <w:t xml:space="preserve">Escalate on day 2</w:t>
            </w:r>
          </w:p>
        </w:tc>
        <w:tc>
          <w:tcPr>
            <w:tcW w:w="2340" w:type="dxa"/>
          </w:tcPr>
          <w:p>
            <w:pPr/>
            <w:r>
              <w:t xml:space="preserve">Counsel's written advice</w:t>
            </w:r>
          </w:p>
        </w:tc>
      </w:tr>
      <w:tr>
        <w:tc>
          <w:tcPr>
            <w:tcW w:w="2340" w:type="dxa"/>
          </w:tcPr>
          <w:p>
            <w:pPr/>
            <w:r>
              <w:t xml:space="preserve">Confirmed SDN match or 50%-owned entity</w:t>
            </w:r>
          </w:p>
        </w:tc>
        <w:tc>
          <w:tcPr>
            <w:tcW w:w="2340" w:type="dxa"/>
          </w:tcPr>
          <w:p>
            <w:pPr/>
            <w:r>
              <w:t xml:space="preserve">Counsel with SCO</w:t>
            </w:r>
          </w:p>
        </w:tc>
        <w:tc>
          <w:tcPr>
            <w:tcW w:w="2340" w:type="dxa"/>
          </w:tcPr>
          <w:p>
            <w:pPr/>
            <w:r>
              <w:t xml:space="preserve">Same day; OFAC report within 10 business days</w:t>
            </w:r>
          </w:p>
        </w:tc>
        <w:tc>
          <w:tcPr>
            <w:tcW w:w="2340" w:type="dxa"/>
          </w:tcPr>
          <w:p>
            <w:pPr/>
            <w:r>
              <w:t xml:space="preserve">Blocked or rejected report and OFAC acknowledgment</w:t>
            </w:r>
          </w:p>
        </w:tc>
      </w:tr>
      <w:tr>
        <w:tc>
          <w:tcPr>
            <w:tcW w:w="2340" w:type="dxa"/>
          </w:tcPr>
          <w:p>
            <w:pPr/>
            <w:r>
              <w:t xml:space="preserve">CRL entity would be in Vivara's payment chain</w:t>
            </w:r>
          </w:p>
        </w:tc>
        <w:tc>
          <w:tcPr>
            <w:tcW w:w="2340" w:type="dxa"/>
          </w:tcPr>
          <w:p>
            <w:pPr/>
            <w:r>
              <w:t xml:space="preserve">SCO rejects; counsel if money already moved</w:t>
            </w:r>
          </w:p>
        </w:tc>
        <w:tc>
          <w:tcPr>
            <w:tcW w:w="2340" w:type="dxa"/>
          </w:tcPr>
          <w:p>
            <w:pPr/>
            <w:r>
              <w:t xml:space="preserve">Same day</w:t>
            </w:r>
          </w:p>
        </w:tc>
        <w:tc>
          <w:tcPr>
            <w:tcW w:w="2340" w:type="dxa"/>
          </w:tcPr>
          <w:p>
            <w:pPr/>
            <w:r>
              <w:t xml:space="preserve">Rejection note; report if required</w:t>
            </w:r>
          </w:p>
        </w:tc>
      </w:tr>
      <w:tr>
        <w:tc>
          <w:tcPr>
            <w:tcW w:w="2340" w:type="dxa"/>
          </w:tcPr>
          <w:p>
            <w:pPr/>
            <w:r>
              <w:t xml:space="preserve">Red flag, no list match</w:t>
            </w:r>
          </w:p>
        </w:tc>
        <w:tc>
          <w:tcPr>
            <w:tcW w:w="2340" w:type="dxa"/>
          </w:tcPr>
          <w:p>
            <w:pPr/>
            <w:r>
              <w:t xml:space="preserve">SCO</w:t>
            </w:r>
          </w:p>
        </w:tc>
        <w:tc>
          <w:tcPr>
            <w:tcW w:w="2340" w:type="dxa"/>
          </w:tcPr>
          <w:p>
            <w:pPr/>
            <w:r>
              <w:t xml:space="preserve">2 business days</w:t>
            </w:r>
          </w:p>
        </w:tc>
        <w:tc>
          <w:tcPr>
            <w:tcW w:w="2340" w:type="dxa"/>
          </w:tcPr>
          <w:p>
            <w:pPr/>
            <w:r>
              <w:t xml:space="preserve">Red-flag memo</w:t>
            </w:r>
          </w:p>
        </w:tc>
      </w:tr>
      <w:tr>
        <w:tc>
          <w:tcPr>
            <w:tcW w:w="2340" w:type="dxa"/>
          </w:tcPr>
          <w:p>
            <w:pPr/>
            <w:r>
              <w:t xml:space="preserve">Designation hits the forwarder's Cuban-side chain</w:t>
            </w:r>
          </w:p>
        </w:tc>
        <w:tc>
          <w:tcPr>
            <w:tcW w:w="2340" w:type="dxa"/>
          </w:tcPr>
          <w:p>
            <w:pPr/>
            <w:r>
              <w:t xml:space="preserve">SCO suspends all shipments through that forwarder</w:t>
            </w:r>
          </w:p>
        </w:tc>
        <w:tc>
          <w:tcPr>
            <w:tcW w:w="2340" w:type="dxa"/>
          </w:tcPr>
          <w:p>
            <w:pPr/>
            <w:r>
              <w:t xml:space="preserve">Same day</w:t>
            </w:r>
          </w:p>
        </w:tc>
        <w:tc>
          <w:tcPr>
            <w:tcW w:w="2340" w:type="dxa"/>
          </w:tcPr>
          <w:p>
            <w:pPr/>
            <w:r>
              <w:t xml:space="preserve">Suspension notice; counsel's advice before resuming</w:t>
            </w:r>
          </w:p>
        </w:tc>
      </w:tr>
      <w:tr>
        <w:tc>
          <w:tcPr>
            <w:tcW w:w="2340" w:type="dxa"/>
          </w:tcPr>
          <w:p>
            <w:pPr/>
            <w:r>
              <w:t xml:space="preserve">Inquiry from OFAC, BIS, CBP, the bank, or the Miami-Dade Tax Collector</w:t>
            </w:r>
          </w:p>
        </w:tc>
        <w:tc>
          <w:tcPr>
            <w:tcW w:w="2340" w:type="dxa"/>
          </w:tcPr>
          <w:p>
            <w:pPr/>
            <w:r>
              <w:t xml:space="preserve">SCO with counsel</w:t>
            </w:r>
          </w:p>
        </w:tc>
        <w:tc>
          <w:tcPr>
            <w:tcW w:w="2340" w:type="dxa"/>
          </w:tcPr>
          <w:p>
            <w:pPr/>
            <w:r>
              <w:t xml:space="preserve">Written reply within the deadline stated in the inquiry</w:t>
            </w:r>
          </w:p>
        </w:tc>
        <w:tc>
          <w:tcPr>
            <w:tcW w:w="2340" w:type="dxa"/>
          </w:tcPr>
          <w:p>
            <w:pPr/>
            <w:r>
              <w:t xml:space="preserve">Inquiry, reply, and disclosure-log entry</w:t>
            </w:r>
          </w:p>
        </w:tc>
      </w:tr>
    </w:tbl>
    <w:p>
      <w:pPr>
        <w:pStyle w:val="Heading2"/>
      </w:pPr>
      <w:r>
        <w:t xml:space="preserve">7. Recordkeeping</w:t>
      </w:r>
    </w:p>
    <w:p>
      <w:pPr/>
      <w:r>
        <w:t xml:space="preserve">Vivara keeps every sanctions and export record for </w:t>
      </w:r>
      <w:r>
        <w:rPr>
          <w:b/>
        </w:rPr>
        <w:t xml:space="preserve">10 years</w:t>
      </w:r>
      <w:r>
        <w:t xml:space="preserve">, the longest period any applicable rule requires, so there is one retention rule instead of three.</w:t>
      </w:r>
    </w:p>
    <w:p>
      <w:pPr>
        <w:pStyle w:val="Heading3"/>
      </w:pPr>
      <w:r>
        <w:t xml:space="preserve">7.1 Retention rule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Minimum required</w:t>
            </w:r>
          </w:p>
        </w:tc>
        <w:tc>
          <w:tcPr>
            <w:tcW w:w="3120" w:type="dxa"/>
            <w:shd w:val="clear" w:color="auto" w:fill="F2F2F2"/>
          </w:tcPr>
          <w:p>
            <w:pPr/>
            <w:r>
              <w:t xml:space="preserve">Vivara keeps</w:t>
            </w:r>
          </w:p>
        </w:tc>
      </w:tr>
      <w:tr>
        <w:tc>
          <w:tcPr>
            <w:tcW w:w="3120" w:type="dxa"/>
          </w:tcPr>
          <w:p>
            <w:pPr/>
            <w:r>
              <w:t xml:space="preserve">OFAC, 31 CFR § 501.601</w:t>
            </w:r>
          </w:p>
        </w:tc>
        <w:tc>
          <w:tcPr>
            <w:tcW w:w="3120" w:type="dxa"/>
          </w:tcPr>
          <w:p>
            <w:pPr/>
            <w:r>
              <w:t xml:space="preserve">10 years from the transaction; blocked-property records for as long as the property is blocked and 10 years after it is unblocked</w:t>
            </w:r>
          </w:p>
        </w:tc>
        <w:tc>
          <w:tcPr>
            <w:tcW w:w="3120" w:type="dxa"/>
          </w:tcPr>
          <w:p>
            <w:pPr/>
            <w:r>
              <w:t xml:space="preserve">Same</w:t>
            </w:r>
          </w:p>
        </w:tc>
      </w:tr>
      <w:tr>
        <w:tc>
          <w:tcPr>
            <w:tcW w:w="3120" w:type="dxa"/>
          </w:tcPr>
          <w:p>
            <w:pPr/>
            <w:r>
              <w:t xml:space="preserve">EAR, 15 CFR Part 762</w:t>
            </w:r>
          </w:p>
        </w:tc>
        <w:tc>
          <w:tcPr>
            <w:tcW w:w="3120" w:type="dxa"/>
          </w:tcPr>
          <w:p>
            <w:pPr/>
            <w:r>
              <w:t xml:space="preserve">5 years</w:t>
            </w:r>
          </w:p>
        </w:tc>
        <w:tc>
          <w:tcPr>
            <w:tcW w:w="3120" w:type="dxa"/>
          </w:tcPr>
          <w:p>
            <w:pPr/>
            <w:r>
              <w:t xml:space="preserve">10 years [POLICY]</w:t>
            </w:r>
          </w:p>
        </w:tc>
      </w:tr>
      <w:tr>
        <w:tc>
          <w:tcPr>
            <w:tcW w:w="3120" w:type="dxa"/>
          </w:tcPr>
          <w:p>
            <w:pPr/>
            <w:r>
              <w:t xml:space="preserve">FTR, 15 CFR § 30.10 (EEI)</w:t>
            </w:r>
          </w:p>
        </w:tc>
        <w:tc>
          <w:tcPr>
            <w:tcW w:w="3120" w:type="dxa"/>
          </w:tcPr>
          <w:p>
            <w:pPr/>
            <w:r>
              <w:t xml:space="preserve">5 years</w:t>
            </w:r>
          </w:p>
        </w:tc>
        <w:tc>
          <w:tcPr>
            <w:tcW w:w="3120" w:type="dxa"/>
          </w:tcPr>
          <w:p>
            <w:pPr/>
            <w:r>
              <w:t xml:space="preserve">10 years [POLICY]</w:t>
            </w:r>
          </w:p>
        </w:tc>
      </w:tr>
    </w:tbl>
    <w:p>
      <w:pPr/>
      <w:r>
        <w:t xml:space="preserve">The clock starts on the later of shipment, final refund, or final chargeback. OFAC can demand any of these records at any time (31 CFR § 501.602); the target is to produce a complete order file within 2 business days of a request. [POLICY]</w:t>
      </w:r>
    </w:p>
    <w:p>
      <w:pPr>
        <w:pStyle w:val="Heading3"/>
      </w:pPr>
      <w:r>
        <w:t xml:space="preserve">7.2 The per-order file</w:t>
      </w:r>
    </w:p>
    <w:p>
      <w:pPr/>
      <w:r>
        <w:t xml:space="preserve">An order is not "complete" at Gate 6 unless every row below is present.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Record</w:t>
            </w:r>
          </w:p>
        </w:tc>
        <w:tc>
          <w:tcPr>
            <w:tcW w:w="3120" w:type="dxa"/>
            <w:shd w:val="clear" w:color="auto" w:fill="F2F2F2"/>
          </w:tcPr>
          <w:p>
            <w:pPr/>
            <w:r>
              <w:t xml:space="preserve">Produced at</w:t>
            </w:r>
          </w:p>
        </w:tc>
        <w:tc>
          <w:tcPr>
            <w:tcW w:w="3120" w:type="dxa"/>
            <w:shd w:val="clear" w:color="auto" w:fill="F2F2F2"/>
          </w:tcPr>
          <w:p>
            <w:pPr/>
            <w:r>
              <w:t xml:space="preserve">Who will ask for it</w:t>
            </w:r>
          </w:p>
        </w:tc>
      </w:tr>
      <w:tr>
        <w:tc>
          <w:tcPr>
            <w:tcW w:w="3120" w:type="dxa"/>
          </w:tcPr>
          <w:p>
            <w:pPr/>
            <w:r>
              <w:t xml:space="preserve">Accepted terms of sale and order confirmation (the AGR written contract)</w:t>
            </w:r>
          </w:p>
        </w:tc>
        <w:tc>
          <w:tcPr>
            <w:tcW w:w="3120" w:type="dxa"/>
          </w:tcPr>
          <w:p>
            <w:pPr/>
            <w:r>
              <w:t xml:space="preserve">Gate 1</w:t>
            </w:r>
          </w:p>
        </w:tc>
        <w:tc>
          <w:tcPr>
            <w:tcW w:w="3120" w:type="dxa"/>
          </w:tcPr>
          <w:p>
            <w:pPr/>
            <w:r>
              <w:t xml:space="preserve">BIS; bank; processor in a dispute</w:t>
            </w:r>
          </w:p>
        </w:tc>
      </w:tr>
      <w:tr>
        <w:tc>
          <w:tcPr>
            <w:tcW w:w="3120" w:type="dxa"/>
          </w:tcPr>
          <w:p>
            <w:pPr/>
            <w:r>
              <w:t xml:space="preserve">Payer identity, payment reference, and settlement date showing payment cleared before release</w:t>
            </w:r>
          </w:p>
        </w:tc>
        <w:tc>
          <w:tcPr>
            <w:tcW w:w="3120" w:type="dxa"/>
          </w:tcPr>
          <w:p>
            <w:pPr/>
            <w:r>
              <w:t xml:space="preserve">Gate 1 and 6</w:t>
            </w:r>
          </w:p>
        </w:tc>
        <w:tc>
          <w:tcPr>
            <w:tcW w:w="3120" w:type="dxa"/>
          </w:tcPr>
          <w:p>
            <w:pPr/>
            <w:r>
              <w:t xml:space="preserve">Bank; OFAC (cash-in-advance proof)</w:t>
            </w:r>
          </w:p>
        </w:tc>
      </w:tr>
      <w:tr>
        <w:tc>
          <w:tcPr>
            <w:tcW w:w="3120" w:type="dxa"/>
          </w:tcPr>
          <w:p>
            <w:pPr/>
            <w:r>
              <w:t xml:space="preserve">Recipient details and household-consumption attestation</w:t>
            </w:r>
          </w:p>
        </w:tc>
        <w:tc>
          <w:tcPr>
            <w:tcW w:w="3120" w:type="dxa"/>
          </w:tcPr>
          <w:p>
            <w:pPr/>
            <w:r>
              <w:t xml:space="preserve">Gate 1</w:t>
            </w:r>
          </w:p>
        </w:tc>
        <w:tc>
          <w:tcPr>
            <w:tcW w:w="3120" w:type="dxa"/>
          </w:tcPr>
          <w:p>
            <w:pPr/>
            <w:r>
              <w:t xml:space="preserve">Bank; BIS</w:t>
            </w:r>
          </w:p>
        </w:tc>
      </w:tr>
      <w:tr>
        <w:tc>
          <w:tcPr>
            <w:tcW w:w="3120" w:type="dxa"/>
          </w:tcPr>
          <w:p>
            <w:pPr/>
            <w:r>
              <w:t xml:space="preserve">Dated screening results for every party, both runs</w:t>
            </w:r>
          </w:p>
        </w:tc>
        <w:tc>
          <w:tcPr>
            <w:tcW w:w="3120" w:type="dxa"/>
          </w:tcPr>
          <w:p>
            <w:pPr/>
            <w:r>
              <w:t xml:space="preserve">Gates 2 and 5</w:t>
            </w:r>
          </w:p>
        </w:tc>
        <w:tc>
          <w:tcPr>
            <w:tcW w:w="3120" w:type="dxa"/>
          </w:tcPr>
          <w:p>
            <w:pPr/>
            <w:r>
              <w:t xml:space="preserve">Bank; OFAC; independent reviewer</w:t>
            </w:r>
          </w:p>
        </w:tc>
      </w:tr>
      <w:tr>
        <w:tc>
          <w:tcPr>
            <w:tcW w:w="3120" w:type="dxa"/>
          </w:tcPr>
          <w:p>
            <w:pPr/>
            <w:r>
              <w:t xml:space="preserve">Red-flag review note, and any hold or escalation memo</w:t>
            </w:r>
          </w:p>
        </w:tc>
        <w:tc>
          <w:tcPr>
            <w:tcW w:w="3120" w:type="dxa"/>
          </w:tcPr>
          <w:p>
            <w:pPr/>
            <w:r>
              <w:t xml:space="preserve">Gate 3</w:t>
            </w:r>
          </w:p>
        </w:tc>
        <w:tc>
          <w:tcPr>
            <w:tcW w:w="3120" w:type="dxa"/>
          </w:tcPr>
          <w:p>
            <w:pPr/>
            <w:r>
              <w:t xml:space="preserve">Bank; OFAC</w:t>
            </w:r>
          </w:p>
        </w:tc>
      </w:tr>
      <w:tr>
        <w:tc>
          <w:tcPr>
            <w:tcW w:w="3120" w:type="dxa"/>
          </w:tcPr>
          <w:p>
            <w:pPr/>
            <w:r>
              <w:t xml:space="preserve">AGR registration number and no-objection confirmation; SKU eligibility references</w:t>
            </w:r>
          </w:p>
        </w:tc>
        <w:tc>
          <w:tcPr>
            <w:tcW w:w="3120" w:type="dxa"/>
          </w:tcPr>
          <w:p>
            <w:pPr/>
            <w:r>
              <w:t xml:space="preserve">Gate 4</w:t>
            </w:r>
          </w:p>
        </w:tc>
        <w:tc>
          <w:tcPr>
            <w:tcW w:w="3120" w:type="dxa"/>
          </w:tcPr>
          <w:p>
            <w:pPr/>
            <w:r>
              <w:t xml:space="preserve">BIS; CBP at export</w:t>
            </w:r>
          </w:p>
        </w:tc>
      </w:tr>
      <w:tr>
        <w:tc>
          <w:tcPr>
            <w:tcW w:w="3120" w:type="dxa"/>
          </w:tcPr>
          <w:p>
            <w:pPr/>
            <w:r>
              <w:t xml:space="preserve">Commercial invoice, packing list, EEI with ITN</w:t>
            </w:r>
          </w:p>
        </w:tc>
        <w:tc>
          <w:tcPr>
            <w:tcW w:w="3120" w:type="dxa"/>
          </w:tcPr>
          <w:p>
            <w:pPr/>
            <w:r>
              <w:t xml:space="preserve">Gate 6</w:t>
            </w:r>
          </w:p>
        </w:tc>
        <w:tc>
          <w:tcPr>
            <w:tcW w:w="3120" w:type="dxa"/>
          </w:tcPr>
          <w:p>
            <w:pPr/>
            <w:r>
              <w:t xml:space="preserve">CBP; BIS; Census</w:t>
            </w:r>
          </w:p>
        </w:tc>
      </w:tr>
      <w:tr>
        <w:tc>
          <w:tcPr>
            <w:tcW w:w="3120" w:type="dxa"/>
          </w:tcPr>
          <w:p>
            <w:pPr/>
            <w:r>
              <w:t xml:space="preserve">Forwarder booking, bill of lading, and delivery confirmation in Cuba when obtainable</w:t>
            </w:r>
          </w:p>
        </w:tc>
        <w:tc>
          <w:tcPr>
            <w:tcW w:w="3120" w:type="dxa"/>
          </w:tcPr>
          <w:p>
            <w:pPr/>
            <w:r>
              <w:t xml:space="preserve">After release</w:t>
            </w:r>
          </w:p>
        </w:tc>
        <w:tc>
          <w:tcPr>
            <w:tcW w:w="3120" w:type="dxa"/>
          </w:tcPr>
          <w:p>
            <w:pPr/>
            <w:r>
              <w:t xml:space="preserve">Processor (chargebacks); bank</w:t>
            </w:r>
          </w:p>
        </w:tc>
      </w:tr>
      <w:tr>
        <w:tc>
          <w:tcPr>
            <w:tcW w:w="3120" w:type="dxa"/>
          </w:tcPr>
          <w:p>
            <w:pPr/>
            <w:r>
              <w:t xml:space="preserve">Refunds and chargebacks, with where the money went</w:t>
            </w:r>
          </w:p>
        </w:tc>
        <w:tc>
          <w:tcPr>
            <w:tcW w:w="3120" w:type="dxa"/>
          </w:tcPr>
          <w:p>
            <w:pPr/>
            <w:r>
              <w:t xml:space="preserve">After release</w:t>
            </w:r>
          </w:p>
        </w:tc>
        <w:tc>
          <w:tcPr>
            <w:tcW w:w="3120" w:type="dxa"/>
          </w:tcPr>
          <w:p>
            <w:pPr/>
            <w:r>
              <w:t xml:space="preserve">Bank; processor</w:t>
            </w:r>
          </w:p>
        </w:tc>
      </w:tr>
    </w:tbl>
    <w:p>
      <w:pPr>
        <w:pStyle w:val="Heading3"/>
      </w:pPr>
      <w:r>
        <w:t xml:space="preserve">7.3 Program-level records</w:t>
      </w:r>
    </w:p>
    <w:p>
      <w:pPr/>
      <w:r>
        <w:t xml:space="preserve">This Program and every prior version; each risk assessment; the AGR notification log; the SKU eligibility file; diligence files and signed representations for the forwarder, suppliers and affiliates; training records; self-test and independent review reports; the regulatory-monitoring log showing each OFAC Cuba action reviewed and the re-screen it triggered; the disclosure log (bank, Tax Collector, agency inquiries); and every OFAC or BIS filing.</w:t>
      </w:r>
    </w:p>
    <w:p>
      <w:pPr>
        <w:pStyle w:val="Heading3"/>
      </w:pPr>
      <w:r>
        <w:t xml:space="preserve">7.4 Storage</w:t>
      </w:r>
    </w:p>
    <w:p>
      <w:pPr/>
      <w:r>
        <w:t xml:space="preserve">Records are digital, filed in the entity-records folder structure, one folder per order number. Storage is versioned so nothing can be silently overwritten, with an off-site backup. Personal data of customers and recipients is access-restricted to the SCO. [POLICY]</w:t>
      </w:r>
    </w:p>
    <w:p>
      <w:pPr>
        <w:pStyle w:val="Heading2"/>
      </w:pPr>
      <w:r>
        <w:t xml:space="preserve">8. Reporting and voluntary self-disclosure</w:t>
      </w:r>
    </w:p>
    <w:p>
      <w:pPr/>
      <w:r>
        <w:t xml:space="preserve">Two OFAC reports are mandatory and each is due within 10 business days; a voluntary self-disclosure is a judgment made with counsel, and the Program's default is to disclose.</w:t>
      </w:r>
    </w:p>
    <w:p>
      <w:pPr>
        <w:pStyle w:val="Heading3"/>
      </w:pPr>
      <w:r>
        <w:t xml:space="preserve">8.1 Mandatory OFAC reports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Report</w:t>
            </w:r>
          </w:p>
        </w:tc>
        <w:tc>
          <w:tcPr>
            <w:tcW w:w="2340" w:type="dxa"/>
            <w:shd w:val="clear" w:color="auto" w:fill="F2F2F2"/>
          </w:tcPr>
          <w:p>
            <w:pPr/>
            <w:r>
              <w:t xml:space="preserve">Trigger</w:t>
            </w:r>
          </w:p>
        </w:tc>
        <w:tc>
          <w:tcPr>
            <w:tcW w:w="2340" w:type="dxa"/>
            <w:shd w:val="clear" w:color="auto" w:fill="F2F2F2"/>
          </w:tcPr>
          <w:p>
            <w:pPr/>
            <w:r>
              <w:t xml:space="preserve">Deadline</w:t>
            </w:r>
          </w:p>
        </w:tc>
        <w:tc>
          <w:tcPr>
            <w:tcW w:w="2340" w:type="dxa"/>
            <w:shd w:val="clear" w:color="auto" w:fill="F2F2F2"/>
          </w:tcPr>
          <w:p>
            <w:pPr/>
            <w:r>
              <w:t xml:space="preserve">How</w:t>
            </w:r>
          </w:p>
        </w:tc>
      </w:tr>
      <w:tr>
        <w:tc>
          <w:tcPr>
            <w:tcW w:w="2340" w:type="dxa"/>
          </w:tcPr>
          <w:p>
            <w:pPr/>
            <w:r>
              <w:t xml:space="preserve">Blocked property (</w:t>
            </w:r>
            <w:hyperlink r:id="rId22" w:history="1">
              <w:r>
                <w:rPr>
                  <w:rStyle w:val="Hyperlink"/>
                </w:rPr>
                <w:t xml:space="preserve">§ 501.603</w:t>
              </w:r>
            </w:hyperlink>
            <w:r>
              <w:t xml:space="preserve">)</w:t>
            </w:r>
          </w:p>
        </w:tc>
        <w:tc>
          <w:tcPr>
            <w:tcW w:w="2340" w:type="dxa"/>
          </w:tcPr>
          <w:p>
            <w:pPr/>
            <w:r>
              <w:t xml:space="preserve">Vivara holds funds or goods in which a blocked person has an interest</w:t>
            </w:r>
          </w:p>
        </w:tc>
        <w:tc>
          <w:tcPr>
            <w:tcW w:w="2340" w:type="dxa"/>
          </w:tcPr>
          <w:p>
            <w:pPr/>
            <w:r>
              <w:t xml:space="preserve">10 business days from blocking</w:t>
            </w:r>
          </w:p>
        </w:tc>
        <w:tc>
          <w:tcPr>
            <w:tcW w:w="2340" w:type="dxa"/>
          </w:tcPr>
          <w:p>
            <w:pPr/>
            <w:hyperlink r:id="rId23" w:history="1">
              <w:r>
                <w:rPr>
                  <w:rStyle w:val="Hyperlink"/>
                </w:rPr>
                <w:t xml:space="preserve">OFAC Reporting System</w:t>
              </w:r>
            </w:hyperlink>
          </w:p>
        </w:tc>
      </w:tr>
      <w:tr>
        <w:tc>
          <w:tcPr>
            <w:tcW w:w="2340" w:type="dxa"/>
          </w:tcPr>
          <w:p>
            <w:pPr/>
            <w:r>
              <w:t xml:space="preserve">Annual blocked property (§ 501.603)</w:t>
            </w:r>
          </w:p>
        </w:tc>
        <w:tc>
          <w:tcPr>
            <w:tcW w:w="2340" w:type="dxa"/>
          </w:tcPr>
          <w:p>
            <w:pPr/>
            <w:r>
              <w:t xml:space="preserve">Any blocked property held on 30 June</w:t>
            </w:r>
          </w:p>
        </w:tc>
        <w:tc>
          <w:tcPr>
            <w:tcW w:w="2340" w:type="dxa"/>
          </w:tcPr>
          <w:p>
            <w:pPr/>
            <w:r>
              <w:t xml:space="preserve">30 September each year</w:t>
            </w:r>
          </w:p>
        </w:tc>
        <w:tc>
          <w:tcPr>
            <w:tcW w:w="2340" w:type="dxa"/>
          </w:tcPr>
          <w:p>
            <w:pPr/>
            <w:r>
              <w:t xml:space="preserve">OFAC Reporting System</w:t>
            </w:r>
          </w:p>
        </w:tc>
      </w:tr>
      <w:tr>
        <w:tc>
          <w:tcPr>
            <w:tcW w:w="2340" w:type="dxa"/>
          </w:tcPr>
          <w:p>
            <w:pPr/>
            <w:r>
              <w:t xml:space="preserve">Unblocking or transfer (§ 501.603)</w:t>
            </w:r>
          </w:p>
        </w:tc>
        <w:tc>
          <w:tcPr>
            <w:tcW w:w="2340" w:type="dxa"/>
          </w:tcPr>
          <w:p>
            <w:pPr/>
            <w:r>
              <w:t xml:space="preserve">Blocked property is released or moved under a license</w:t>
            </w:r>
          </w:p>
        </w:tc>
        <w:tc>
          <w:tcPr>
            <w:tcW w:w="2340" w:type="dxa"/>
          </w:tcPr>
          <w:p>
            <w:pPr/>
            <w:r>
              <w:t xml:space="preserve">As the rule and license require</w:t>
            </w:r>
          </w:p>
        </w:tc>
        <w:tc>
          <w:tcPr>
            <w:tcW w:w="2340" w:type="dxa"/>
          </w:tcPr>
          <w:p>
            <w:pPr/>
            <w:r>
              <w:t xml:space="preserve">OFAC Reporting System or OFACReport@treasury.gov</w:t>
            </w:r>
          </w:p>
        </w:tc>
      </w:tr>
      <w:tr>
        <w:tc>
          <w:tcPr>
            <w:tcW w:w="2340" w:type="dxa"/>
          </w:tcPr>
          <w:p>
            <w:pPr/>
            <w:r>
              <w:t xml:space="preserve">Rejected transaction (</w:t>
            </w:r>
            <w:hyperlink r:id="rId24" w:history="1">
              <w:r>
                <w:rPr>
                  <w:rStyle w:val="Hyperlink"/>
                </w:rPr>
                <w:t xml:space="preserve">§ 501.604</w:t>
              </w:r>
            </w:hyperlink>
            <w:r>
              <w:t xml:space="preserve">)</w:t>
            </w:r>
          </w:p>
        </w:tc>
        <w:tc>
          <w:tcPr>
            <w:tcW w:w="2340" w:type="dxa"/>
          </w:tcPr>
          <w:p>
            <w:pPr/>
            <w:r>
              <w:t xml:space="preserve">Vivara rejects a transaction because processing it would violate OFAC rules</w:t>
            </w:r>
          </w:p>
        </w:tc>
        <w:tc>
          <w:tcPr>
            <w:tcW w:w="2340" w:type="dxa"/>
          </w:tcPr>
          <w:p>
            <w:pPr/>
            <w:r>
              <w:t xml:space="preserve">10 business days from rejection</w:t>
            </w:r>
          </w:p>
        </w:tc>
        <w:tc>
          <w:tcPr>
            <w:tcW w:w="2340" w:type="dxa"/>
          </w:tcPr>
          <w:p>
            <w:pPr/>
            <w:r>
              <w:t xml:space="preserve">As § 501.604 directs</w:t>
            </w:r>
          </w:p>
        </w:tc>
      </w:tr>
    </w:tbl>
    <w:p>
      <w:pPr/>
      <w:r>
        <w:t xml:space="preserve">Section 501.604 applies to </w:t>
      </w:r>
      <w:r>
        <w:rPr>
          <w:b/>
        </w:rPr>
        <w:t xml:space="preserve">any U.S. person</w:t>
      </w:r>
      <w:r>
        <w:t xml:space="preserve">, not only banks. What is less clear is whether a merchant declining an order at screening, before any money has moved, has "rejected a transaction" within the rule. Until counsel says otherwise, the SCO files when in doubt. [COUNSEL]</w:t>
      </w:r>
    </w:p>
    <w:p>
      <w:pPr>
        <w:pStyle w:val="Heading3"/>
      </w:pPr>
      <w:r>
        <w:t xml:space="preserve">8.2 Voluntary self-disclosure</w:t>
      </w:r>
    </w:p>
    <w:p>
      <w:pPr/>
      <w:r>
        <w:t xml:space="preserve">If Vivara finds that it may already have violated the CACR, E.O. 14404, or the EAR — for example, goods shipped to a party who was listed at the time, a shipment outside a valid AGR notification, or goods released before payment cleared — the SCO:</w:t>
      </w:r>
    </w:p>
    <w:p>
      <w:pPr>
        <w:pStyle w:val="ListParagraph"/>
        <w:numPr>
          <w:ilvl w:val="0"/>
          <w:numId w:val="14"/>
        </w:numPr>
      </w:pPr>
      <w:r>
        <w:t xml:space="preserve">Stops the activity and any similar pending orders the same day.</w:t>
      </w:r>
    </w:p>
    <w:p>
      <w:pPr>
        <w:pStyle w:val="ListParagraph"/>
        <w:numPr>
          <w:ilvl w:val="0"/>
          <w:numId w:val="14"/>
        </w:numPr>
      </w:pPr>
      <w:r>
        <w:t xml:space="preserve">Preserves every related record; nothing is edited or deleted.</w:t>
      </w:r>
    </w:p>
    <w:p>
      <w:pPr>
        <w:pStyle w:val="ListParagraph"/>
        <w:numPr>
          <w:ilvl w:val="0"/>
          <w:numId w:val="14"/>
        </w:numPr>
      </w:pPr>
      <w:r>
        <w:t xml:space="preserve">Contacts counsel within 1 business day.</w:t>
      </w:r>
    </w:p>
    <w:p>
      <w:pPr>
        <w:pStyle w:val="ListParagraph"/>
        <w:numPr>
          <w:ilvl w:val="0"/>
          <w:numId w:val="14"/>
        </w:numPr>
      </w:pPr>
      <w:r>
        <w:t xml:space="preserve">Decides with counsel whether to file a voluntary self-disclosure with OFAC (Enforcement Guidelines, 31 CFR Part 501, App. A) and with BIS (15 CFR § 764.5).</w:t>
      </w:r>
    </w:p>
    <w:p>
      <w:pPr/>
      <w:r>
        <w:t xml:space="preserve">The default is to disclose. A disclosure made before OFAC learns of the matter elsewhere roughly halves the base penalty under OFAC's guidelines. BIS has said that deliberately not disclosing a significant possible violation is an aggravating factor. The limitations period for these violations is now 10 years, so a problem does not age out. [POLICY]</w:t>
      </w:r>
    </w:p>
    <w:p>
      <w:pPr>
        <w:pStyle w:val="Heading3"/>
      </w:pPr>
      <w:r>
        <w:t xml:space="preserve">8.3 Other notifications</w:t>
      </w:r>
    </w:p>
    <w:p>
      <w:pPr>
        <w:pStyle w:val="ListParagraph"/>
        <w:numPr>
          <w:ilvl w:val="0"/>
          <w:numId w:val="15"/>
        </w:numPr>
      </w:pPr>
      <w:r>
        <w:rPr>
          <w:b/>
        </w:rPr>
        <w:t xml:space="preserve">Bank and payment processor</w:t>
      </w:r>
      <w:r>
        <w:t xml:space="preserve"> — informed in writing after any blocking, OFAC report, disclosure, or government inquiry (Section 6.1, step 7). [POLICY]</w:t>
      </w:r>
    </w:p>
    <w:p>
      <w:pPr>
        <w:pStyle w:val="ListParagraph"/>
        <w:numPr>
          <w:ilvl w:val="0"/>
          <w:numId w:val="15"/>
        </w:numPr>
      </w:pPr>
      <w:r>
        <w:rPr>
          <w:b/>
        </w:rPr>
        <w:t xml:space="preserve">Miami-Dade Tax Collector</w:t>
      </w:r>
      <w:r>
        <w:t xml:space="preserve"> — any inquiry answered promptly and in writing, drawing on the counsel-drafted authorization statement; logged in the disclosure log. [POLICY]</w:t>
      </w:r>
    </w:p>
    <w:p>
      <w:pPr>
        <w:pStyle w:val="Heading3"/>
      </w:pPr>
      <w:r>
        <w:t xml:space="preserve">8.4 What this Program is not</w:t>
      </w:r>
    </w:p>
    <w:p>
      <w:pPr/>
      <w:r>
        <w:t xml:space="preserve">This is a sanctions program, not a BSA/AML program. Vivara's position is that, as a merchant of record selling its own goods, it is not a money services business and has no Suspicious Activity Report obligation. That position is not final until counsel's written MSB determination is in the file. If counsel's MSB determination concludes otherwise under FinCEN rules or Chapter 560, Florida Statutes, the Program must be expanded into a full BSA/AML program (with SAR, CTR and registration duties) before the next order. [COUNSEL]</w:t>
      </w:r>
    </w:p>
    <w:p>
      <w:pPr>
        <w:pStyle w:val="Heading2"/>
      </w:pPr>
      <w:r>
        <w:t xml:space="preserve">9. Training</w:t>
      </w:r>
    </w:p>
    <w:p>
      <w:pPr/>
      <w:r>
        <w:t xml:space="preserve">No one touches an order until they have been trained on this Program, and the SCO re-trains within 30 days of any material change — in 2026, that has meant several times a year.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Who</w:t>
            </w:r>
          </w:p>
        </w:tc>
        <w:tc>
          <w:tcPr>
            <w:tcW w:w="3120" w:type="dxa"/>
            <w:shd w:val="clear" w:color="auto" w:fill="F2F2F2"/>
          </w:tcPr>
          <w:p>
            <w:pPr/>
            <w:r>
              <w:t xml:space="preserve">When</w:t>
            </w:r>
          </w:p>
        </w:tc>
        <w:tc>
          <w:tcPr>
            <w:tcW w:w="3120" w:type="dxa"/>
            <w:shd w:val="clear" w:color="auto" w:fill="F2F2F2"/>
          </w:tcPr>
          <w:p>
            <w:pPr/>
            <w:r>
              <w:t xml:space="preserve">Content</w:t>
            </w:r>
          </w:p>
        </w:tc>
      </w:tr>
      <w:tr>
        <w:tc>
          <w:tcPr>
            <w:tcW w:w="3120" w:type="dxa"/>
          </w:tcPr>
          <w:p>
            <w:pPr/>
            <w:r>
              <w:t xml:space="preserve">SCO (Managing Member)</w:t>
            </w:r>
          </w:p>
        </w:tc>
        <w:tc>
          <w:tcPr>
            <w:tcW w:w="3120" w:type="dxa"/>
          </w:tcPr>
          <w:p>
            <w:pPr/>
            <w:r>
              <w:t xml:space="preserve">Before adoption; annually; within 30 days of a material change</w:t>
            </w:r>
          </w:p>
        </w:tc>
        <w:tc>
          <w:tcPr>
            <w:tcW w:w="3120" w:type="dxa"/>
          </w:tcPr>
          <w:p>
            <w:pPr/>
            <w:r>
              <w:t xml:space="preserve">The whole Program; the 2026 changes; screening and adjudication; reporting; case studies</w:t>
            </w:r>
          </w:p>
        </w:tc>
      </w:tr>
      <w:tr>
        <w:tc>
          <w:tcPr>
            <w:tcW w:w="3120" w:type="dxa"/>
          </w:tcPr>
          <w:p>
            <w:pPr/>
            <w:r>
              <w:t xml:space="preserve">Successor manager</w:t>
            </w:r>
          </w:p>
        </w:tc>
        <w:tc>
          <w:tcPr>
            <w:tcW w:w="3120" w:type="dxa"/>
          </w:tcPr>
          <w:p>
            <w:pPr/>
            <w:r>
              <w:t xml:space="preserve">Before assuming the SCO role (Section 2.3)</w:t>
            </w:r>
          </w:p>
        </w:tc>
        <w:tc>
          <w:tcPr>
            <w:tcW w:w="3120" w:type="dxa"/>
          </w:tcPr>
          <w:p>
            <w:pPr/>
            <w:r>
              <w:t xml:space="preserve">Same as SCO</w:t>
            </w:r>
          </w:p>
        </w:tc>
      </w:tr>
      <w:tr>
        <w:tc>
          <w:tcPr>
            <w:tcW w:w="3120" w:type="dxa"/>
          </w:tcPr>
          <w:p>
            <w:pPr/>
            <w:r>
              <w:t xml:space="preserve">Staff or contractors who handle orders, packing, or shipping documents</w:t>
            </w:r>
          </w:p>
        </w:tc>
        <w:tc>
          <w:tcPr>
            <w:tcW w:w="3120" w:type="dxa"/>
          </w:tcPr>
          <w:p>
            <w:pPr/>
            <w:r>
              <w:t xml:space="preserve">Before their first task; annually</w:t>
            </w:r>
          </w:p>
        </w:tc>
        <w:tc>
          <w:tcPr>
            <w:tcW w:w="3120" w:type="dxa"/>
          </w:tcPr>
          <w:p>
            <w:pPr/>
            <w:r>
              <w:t xml:space="preserve">Hard stops, holds, what they must never do (ship a held order, refund a held order, change a recipient)</w:t>
            </w:r>
          </w:p>
        </w:tc>
      </w:tr>
      <w:tr>
        <w:tc>
          <w:tcPr>
            <w:tcW w:w="3120" w:type="dxa"/>
          </w:tcPr>
          <w:p>
            <w:pPr/>
            <w:r>
              <w:t xml:space="preserve">Affiliates</w:t>
            </w:r>
          </w:p>
        </w:tc>
        <w:tc>
          <w:tcPr>
            <w:tcW w:w="3120" w:type="dxa"/>
          </w:tcPr>
          <w:p>
            <w:pPr/>
            <w:r>
              <w:t xml:space="preserve">At onboarding; annually</w:t>
            </w:r>
          </w:p>
        </w:tc>
        <w:tc>
          <w:tcPr>
            <w:tcW w:w="3120" w:type="dxa"/>
          </w:tcPr>
          <w:p>
            <w:pPr/>
            <w:r>
              <w:t xml:space="preserve">Approved copy, prohibited claims in English and Spanish, why "envíos" and "remesas" are banned words</w:t>
            </w:r>
          </w:p>
        </w:tc>
      </w:tr>
    </w:tbl>
    <w:p>
      <w:pPr/>
      <w:r>
        <w:rPr>
          <w:b/>
        </w:rPr>
        <w:t xml:space="preserve">Core curriculum:</w:t>
      </w:r>
    </w:p>
    <w:p>
      <w:pPr>
        <w:pStyle w:val="ListParagraph"/>
        <w:numPr>
          <w:ilvl w:val="0"/>
          <w:numId w:val="16"/>
        </w:numPr>
      </w:pPr>
      <w:r>
        <w:t xml:space="preserve">The authorization chain (Section 3.1) and why failing one link fails the order.</w:t>
      </w:r>
    </w:p>
    <w:p>
      <w:pPr>
        <w:pStyle w:val="ListParagraph"/>
        <w:numPr>
          <w:ilvl w:val="0"/>
          <w:numId w:val="16"/>
        </w:numPr>
      </w:pPr>
      <w:r>
        <w:t xml:space="preserve">Screening Spanish-language names: two surnames, accents, transliteration, common given names that generate false positives.</w:t>
      </w:r>
    </w:p>
    <w:p>
      <w:pPr>
        <w:pStyle w:val="ListParagraph"/>
        <w:numPr>
          <w:ilvl w:val="0"/>
          <w:numId w:val="16"/>
        </w:numPr>
      </w:pPr>
      <w:r>
        <w:t xml:space="preserve">The red flags in Appendix C, worked through examples.</w:t>
      </w:r>
    </w:p>
    <w:p>
      <w:pPr>
        <w:pStyle w:val="ListParagraph"/>
        <w:numPr>
          <w:ilvl w:val="0"/>
          <w:numId w:val="16"/>
        </w:numPr>
      </w:pPr>
      <w:r>
        <w:t xml:space="preserve">Hold, reject, block: why a refund to a blocked person is itself a violation.</w:t>
      </w:r>
    </w:p>
    <w:p>
      <w:pPr>
        <w:pStyle w:val="ListParagraph"/>
        <w:numPr>
          <w:ilvl w:val="0"/>
          <w:numId w:val="16"/>
        </w:numPr>
      </w:pPr>
      <w:r>
        <w:t xml:space="preserve">Case studies from the project file: PayPal's 2015 OFAC settlement over Cuba-keyword transactions, and the September 2026 Miami-Dade receipt revocation of a cargo company dealing with a designated Cuban courier.</w:t>
      </w:r>
    </w:p>
    <w:p>
      <w:pPr/>
      <w:r>
        <w:rPr>
          <w:b/>
        </w:rPr>
        <w:t xml:space="preserve">Records:</w:t>
      </w:r>
      <w:r>
        <w:t xml:space="preserve"> date, attendee, materials, and a signed acknowledgment (Appendix D form) for each session, kept 10 years.</w:t>
      </w:r>
    </w:p>
    <w:p>
      <w:pPr/>
      <w:r>
        <w:rPr>
          <w:b/>
        </w:rPr>
        <w:t xml:space="preserve">Sources to train from:</w:t>
      </w:r>
      <w:r>
        <w:t xml:space="preserve"> </w:t>
      </w:r>
      <w:hyperlink r:id="rId25" w:history="1">
        <w:r>
          <w:rPr>
            <w:rStyle w:val="Hyperlink"/>
          </w:rPr>
          <w:t xml:space="preserve">OFAC Cuba sanctions page</w:t>
        </w:r>
      </w:hyperlink>
      <w:r>
        <w:t xml:space="preserve">, </w:t>
      </w:r>
      <w:hyperlink r:id="rId26" w:history="1">
        <w:r>
          <w:rPr>
            <w:rStyle w:val="Hyperlink"/>
          </w:rPr>
          <w:t xml:space="preserve">OFAC FAQs</w:t>
        </w:r>
      </w:hyperlink>
      <w:r>
        <w:t xml:space="preserve">, </w:t>
      </w:r>
      <w:hyperlink r:id="rId17" w:history="1">
        <w:r>
          <w:rPr>
            <w:rStyle w:val="Hyperlink"/>
          </w:rPr>
          <w:t xml:space="preserve">BIS Cuba export controls</w:t>
        </w:r>
      </w:hyperlink>
      <w:r>
        <w:t xml:space="preserve">, and OFAC's published enforcement actions.</w:t>
      </w:r>
    </w:p>
    <w:p>
      <w:pPr>
        <w:pStyle w:val="Heading2"/>
      </w:pPr>
      <w:r>
        <w:t xml:space="preserve">10. Testing and independent review</w:t>
      </w:r>
    </w:p>
    <w:p>
      <w:pPr/>
      <w:r>
        <w:t xml:space="preserve">The SCO tests the Program every quarter, and someone who does not run it reviews it within 6 months of the first shipment and every 12 months after that — because in a one-person company, self-testing alone proves little.</w:t>
      </w:r>
    </w:p>
    <w:p>
      <w:pPr>
        <w:pStyle w:val="Heading3"/>
      </w:pPr>
      <w:r>
        <w:t xml:space="preserve">10.1 Quarterly self-test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Method</w:t>
            </w:r>
          </w:p>
        </w:tc>
        <w:tc>
          <w:tcPr>
            <w:tcW w:w="3120" w:type="dxa"/>
            <w:shd w:val="clear" w:color="auto" w:fill="F2F2F2"/>
          </w:tcPr>
          <w:p>
            <w:pPr/>
            <w:r>
              <w:t xml:space="preserve">Pass standard</w:t>
            </w:r>
          </w:p>
        </w:tc>
      </w:tr>
      <w:tr>
        <w:tc>
          <w:tcPr>
            <w:tcW w:w="3120" w:type="dxa"/>
          </w:tcPr>
          <w:p>
            <w:pPr/>
            <w:r>
              <w:t xml:space="preserve">Screening catches what it should</w:t>
            </w:r>
          </w:p>
        </w:tc>
        <w:tc>
          <w:tcPr>
            <w:tcW w:w="3120" w:type="dxa"/>
          </w:tcPr>
          <w:p>
            <w:pPr/>
            <w:r>
              <w:t xml:space="preserve">Search 3 known listed names (e.g., GAESA and two designated individuals), each with and without accents and with one surname dropped</w:t>
            </w:r>
          </w:p>
        </w:tc>
        <w:tc>
          <w:tcPr>
            <w:tcW w:w="3120" w:type="dxa"/>
          </w:tcPr>
          <w:p>
            <w:pPr/>
            <w:r>
              <w:t xml:space="preserve">All 3 return a hit on every variant</w:t>
            </w:r>
          </w:p>
        </w:tc>
      </w:tr>
      <w:tr>
        <w:tc>
          <w:tcPr>
            <w:tcW w:w="3120" w:type="dxa"/>
          </w:tcPr>
          <w:p>
            <w:pPr/>
            <w:r>
              <w:t xml:space="preserve">Order file completeness</w:t>
            </w:r>
          </w:p>
        </w:tc>
        <w:tc>
          <w:tcPr>
            <w:tcW w:w="3120" w:type="dxa"/>
          </w:tcPr>
          <w:p>
            <w:pPr/>
            <w:r>
              <w:t xml:space="preserve">Every order if fewer than 50 in the quarter; otherwise 25 at random plus every held order, checked against Section 7.2</w:t>
            </w:r>
          </w:p>
        </w:tc>
        <w:tc>
          <w:tcPr>
            <w:tcW w:w="3120" w:type="dxa"/>
          </w:tcPr>
          <w:p>
            <w:pPr/>
            <w:r>
              <w:t xml:space="preserve">100% complete</w:t>
            </w:r>
          </w:p>
        </w:tc>
      </w:tr>
      <w:tr>
        <w:tc>
          <w:tcPr>
            <w:tcW w:w="3120" w:type="dxa"/>
          </w:tcPr>
          <w:p>
            <w:pPr/>
            <w:r>
              <w:t xml:space="preserve">Lookback screening</w:t>
            </w:r>
          </w:p>
        </w:tc>
        <w:tc>
          <w:tcPr>
            <w:tcW w:w="3120" w:type="dxa"/>
          </w:tcPr>
          <w:p>
            <w:pPr/>
            <w:r>
              <w:t xml:space="preserve">Re-screen every payer and recipient from the quarter against current lists</w:t>
            </w:r>
          </w:p>
        </w:tc>
        <w:tc>
          <w:tcPr>
            <w:tcW w:w="3120" w:type="dxa"/>
          </w:tcPr>
          <w:p>
            <w:pPr/>
            <w:r>
              <w:t xml:space="preserve">Any new hit is adjudicated under Section 6; a party listed </w:t>
            </w:r>
            <w:r>
              <w:rPr>
                <w:i/>
              </w:rPr>
              <w:t xml:space="preserve">before</w:t>
            </w:r>
            <w:r>
              <w:t xml:space="preserve"> shipment goes to Section 8.2</w:t>
            </w:r>
          </w:p>
        </w:tc>
      </w:tr>
      <w:tr>
        <w:tc>
          <w:tcPr>
            <w:tcW w:w="3120" w:type="dxa"/>
          </w:tcPr>
          <w:p>
            <w:pPr/>
            <w:r>
              <w:t xml:space="preserve">Cash in advance</w:t>
            </w:r>
          </w:p>
        </w:tc>
        <w:tc>
          <w:tcPr>
            <w:tcW w:w="3120" w:type="dxa"/>
          </w:tcPr>
          <w:p>
            <w:pPr/>
            <w:r>
              <w:t xml:space="preserve">Compare settlement date to handover date for each sampled order</w:t>
            </w:r>
          </w:p>
        </w:tc>
        <w:tc>
          <w:tcPr>
            <w:tcW w:w="3120" w:type="dxa"/>
          </w:tcPr>
          <w:p>
            <w:pPr/>
            <w:r>
              <w:t xml:space="preserve">Settlement precedes handover every time</w:t>
            </w:r>
          </w:p>
        </w:tc>
      </w:tr>
      <w:tr>
        <w:tc>
          <w:tcPr>
            <w:tcW w:w="3120" w:type="dxa"/>
          </w:tcPr>
          <w:p>
            <w:pPr/>
            <w:r>
              <w:t xml:space="preserve">AGR coverage</w:t>
            </w:r>
          </w:p>
        </w:tc>
        <w:tc>
          <w:tcPr>
            <w:tcW w:w="3120" w:type="dxa"/>
          </w:tcPr>
          <w:p>
            <w:pPr/>
            <w:r>
              <w:t xml:space="preserve">Match each sampled shipment to an in-date notification listing its SKUs</w:t>
            </w:r>
          </w:p>
        </w:tc>
        <w:tc>
          <w:tcPr>
            <w:tcW w:w="3120" w:type="dxa"/>
          </w:tcPr>
          <w:p>
            <w:pPr/>
            <w:r>
              <w:t xml:space="preserve">No exceptions</w:t>
            </w:r>
          </w:p>
        </w:tc>
      </w:tr>
      <w:tr>
        <w:tc>
          <w:tcPr>
            <w:tcW w:w="3120" w:type="dxa"/>
          </w:tcPr>
          <w:p>
            <w:pPr/>
            <w:r>
              <w:t xml:space="preserve">Money out</w:t>
            </w:r>
          </w:p>
        </w:tc>
        <w:tc>
          <w:tcPr>
            <w:tcW w:w="3120" w:type="dxa"/>
          </w:tcPr>
          <w:p>
            <w:pPr/>
            <w:r>
              <w:t xml:space="preserve">Trace every outbound payment on the bank statement to an approved supplier or the approved forwarder</w:t>
            </w:r>
          </w:p>
        </w:tc>
        <w:tc>
          <w:tcPr>
            <w:tcW w:w="3120" w:type="dxa"/>
          </w:tcPr>
          <w:p>
            <w:pPr/>
            <w:r>
              <w:t xml:space="preserve">No payment to anyone else, none abroad</w:t>
            </w:r>
          </w:p>
        </w:tc>
      </w:tr>
      <w:tr>
        <w:tc>
          <w:tcPr>
            <w:tcW w:w="3120" w:type="dxa"/>
          </w:tcPr>
          <w:p>
            <w:pPr/>
            <w:r>
              <w:t xml:space="preserve">Affiliate copy</w:t>
            </w:r>
          </w:p>
        </w:tc>
        <w:tc>
          <w:tcPr>
            <w:tcW w:w="3120" w:type="dxa"/>
          </w:tcPr>
          <w:p>
            <w:pPr/>
            <w:r>
              <w:t xml:space="preserve">Spot-check each active affiliate's channels</w:t>
            </w:r>
          </w:p>
        </w:tc>
        <w:tc>
          <w:tcPr>
            <w:tcW w:w="3120" w:type="dxa"/>
          </w:tcPr>
          <w:p>
            <w:pPr/>
            <w:r>
              <w:t xml:space="preserve">Approved copy only</w:t>
            </w:r>
          </w:p>
        </w:tc>
      </w:tr>
    </w:tbl>
    <w:p>
      <w:pPr/>
      <w:r>
        <w:t xml:space="preserve">Results, including a clean result, go in a dated self-test report. [POLICY]</w:t>
      </w:r>
    </w:p>
    <w:p>
      <w:pPr>
        <w:pStyle w:val="Heading3"/>
      </w:pPr>
      <w:r>
        <w:t xml:space="preserve">10.2 Independent review</w:t>
      </w:r>
    </w:p>
    <w:p>
      <w:pPr>
        <w:pStyle w:val="ListParagraph"/>
        <w:numPr>
          <w:ilvl w:val="0"/>
          <w:numId w:val="17"/>
        </w:numPr>
      </w:pPr>
      <w:r>
        <w:rPr>
          <w:b/>
        </w:rPr>
        <w:t xml:space="preserve">Who:</w:t>
      </w:r>
      <w:r>
        <w:t xml:space="preserve"> OFAC/export-controls counsel or a qualified sanctions consultant with no role in daily operations.</w:t>
      </w:r>
    </w:p>
    <w:p>
      <w:pPr>
        <w:pStyle w:val="ListParagraph"/>
        <w:numPr>
          <w:ilvl w:val="0"/>
          <w:numId w:val="17"/>
        </w:numPr>
      </w:pPr>
      <w:r>
        <w:rPr>
          <w:b/>
        </w:rPr>
        <w:t xml:space="preserve">When:</w:t>
      </w:r>
      <w:r>
        <w:t xml:space="preserve"> within 6 months of the first shipment, then every 12 months.</w:t>
      </w:r>
    </w:p>
    <w:p>
      <w:pPr>
        <w:pStyle w:val="ListParagraph"/>
        <w:numPr>
          <w:ilvl w:val="0"/>
          <w:numId w:val="17"/>
        </w:numPr>
      </w:pPr>
      <w:r>
        <w:rPr>
          <w:b/>
        </w:rPr>
        <w:t xml:space="preserve">Scope:</w:t>
      </w:r>
      <w:r>
        <w:t xml:space="preserve"> whether the Program's design fits the current regime, and whether it operated as written, using a sample of order files.</w:t>
      </w:r>
    </w:p>
    <w:p>
      <w:pPr>
        <w:pStyle w:val="ListParagraph"/>
        <w:numPr>
          <w:ilvl w:val="0"/>
          <w:numId w:val="17"/>
        </w:numPr>
      </w:pPr>
      <w:r>
        <w:rPr>
          <w:b/>
        </w:rPr>
        <w:t xml:space="preserve">Output:</w:t>
      </w:r>
      <w:r>
        <w:t xml:space="preserve"> a written report; the bank may be given a summary on request. [POLICY]</w:t>
      </w:r>
    </w:p>
    <w:p>
      <w:pPr>
        <w:pStyle w:val="Heading3"/>
      </w:pPr>
      <w:r>
        <w:t xml:space="preserve">10.3 Findings</w:t>
      </w:r>
    </w:p>
    <w:p>
      <w:pPr/>
      <w:r>
        <w:t xml:space="preserve">Every finding from a self-test or review goes in a findings log: the issue, its root cause, the fix, and the date closed. A finding that reveals a possible violation goes straight to Section 8.2. A finding still open after 90 days is reported to counsel. [POLICY]</w:t>
      </w:r>
    </w:p>
    <w:p>
      <w:pPr>
        <w:pStyle w:val="Heading2"/>
      </w:pPr>
      <w:r>
        <w:t xml:space="preserve">11. Program maintenance</w:t>
      </w:r>
    </w:p>
    <w:p>
      <w:pPr/>
      <w:r>
        <w:t xml:space="preserve">The Program is reviewed in full every 12 months from adoption, and immediately whenever one of the triggers below occurs; in the current Cuba environment, the triggers will drive most updates.</w:t>
      </w:r>
    </w:p>
    <w:p>
      <w:pPr>
        <w:pStyle w:val="Heading3"/>
      </w:pPr>
      <w:r>
        <w:t xml:space="preserve">11.1 Daily monitoring</w:t>
      </w:r>
    </w:p>
    <w:p>
      <w:pPr/>
      <w:r>
        <w:t xml:space="preserve">Each business day the SCO checks OFAC Recent Actions, BIS, and State Department Cuba releases. Every Cuba-related action is entered in the monitoring log with the date reviewed and the re-screen it triggered (Section 5.3). [POLICY]</w:t>
      </w:r>
    </w:p>
    <w:p>
      <w:pPr>
        <w:pStyle w:val="Heading3"/>
      </w:pPr>
      <w:r>
        <w:t xml:space="preserve">11.2 Change triggers</w:t>
      </w:r>
    </w:p>
    <w:p>
      <w:pPr>
        <w:pStyle w:val="ListParagraph"/>
        <w:numPr>
          <w:ilvl w:val="0"/>
          <w:numId w:val="18"/>
        </w:numPr>
      </w:pPr>
      <w:r>
        <w:t xml:space="preserve">A new executive order, CACR or EAR amendment, general license, or FAQ affecting Cuba.</w:t>
      </w:r>
    </w:p>
    <w:p>
      <w:pPr>
        <w:pStyle w:val="ListParagraph"/>
        <w:numPr>
          <w:ilvl w:val="0"/>
          <w:numId w:val="18"/>
        </w:numPr>
      </w:pPr>
      <w:r>
        <w:t xml:space="preserve">Any designation touching the forwarder's chain: carrier, port or terminal operator, customs broker, last-mile courier, or settlement bank.</w:t>
      </w:r>
    </w:p>
    <w:p>
      <w:pPr>
        <w:pStyle w:val="ListParagraph"/>
        <w:numPr>
          <w:ilvl w:val="0"/>
          <w:numId w:val="18"/>
        </w:numPr>
      </w:pPr>
      <w:r>
        <w:t xml:space="preserve">A change to License Exception AGR, TSRA, or SNAP-R procedures.</w:t>
      </w:r>
    </w:p>
    <w:p>
      <w:pPr>
        <w:pStyle w:val="ListParagraph"/>
        <w:numPr>
          <w:ilvl w:val="0"/>
          <w:numId w:val="18"/>
        </w:numPr>
      </w:pPr>
      <w:r>
        <w:t xml:space="preserve">A new product category, customer type (including MIPYMEs), destination, or Entity 2 launch.</w:t>
      </w:r>
    </w:p>
    <w:p>
      <w:pPr>
        <w:pStyle w:val="ListParagraph"/>
        <w:numPr>
          <w:ilvl w:val="0"/>
          <w:numId w:val="18"/>
        </w:numPr>
      </w:pPr>
      <w:r>
        <w:t xml:space="preserve">A new forwarder, carrier, port, acquirer, or bank.</w:t>
      </w:r>
    </w:p>
    <w:p>
      <w:pPr>
        <w:pStyle w:val="ListParagraph"/>
        <w:numPr>
          <w:ilvl w:val="0"/>
          <w:numId w:val="18"/>
        </w:numPr>
      </w:pPr>
      <w:r>
        <w:t xml:space="preserve">Counsel's MSB determination or opinion on terminal charges.</w:t>
      </w:r>
    </w:p>
    <w:p>
      <w:pPr>
        <w:pStyle w:val="ListParagraph"/>
        <w:numPr>
          <w:ilvl w:val="0"/>
          <w:numId w:val="18"/>
        </w:numPr>
      </w:pPr>
      <w:r>
        <w:t xml:space="preserve">Any Section 8 event, or any independent-review finding.</w:t>
      </w:r>
    </w:p>
    <w:p>
      <w:pPr>
        <w:pStyle w:val="Heading3"/>
      </w:pPr>
      <w:r>
        <w:t xml:space="preserve">11.3 Change process</w:t>
      </w:r>
    </w:p>
    <w:p>
      <w:pPr>
        <w:pStyle w:val="ListParagraph"/>
        <w:numPr>
          <w:ilvl w:val="0"/>
          <w:numId w:val="19"/>
        </w:numPr>
      </w:pPr>
      <w:r>
        <w:t xml:space="preserve">The SCO drafts the change and updates the risk assessment.</w:t>
      </w:r>
    </w:p>
    <w:p>
      <w:pPr>
        <w:pStyle w:val="ListParagraph"/>
        <w:numPr>
          <w:ilvl w:val="0"/>
          <w:numId w:val="19"/>
        </w:numPr>
      </w:pPr>
      <w:r>
        <w:t xml:space="preserve">Counsel reviews any change to scope, hard stops, screening, or reporting.</w:t>
      </w:r>
    </w:p>
    <w:p>
      <w:pPr>
        <w:pStyle w:val="ListParagraph"/>
        <w:numPr>
          <w:ilvl w:val="0"/>
          <w:numId w:val="19"/>
        </w:numPr>
      </w:pPr>
      <w:r>
        <w:t xml:space="preserve">The Managing Member signs the new version (Appendix D).</w:t>
      </w:r>
    </w:p>
    <w:p>
      <w:pPr>
        <w:pStyle w:val="ListParagraph"/>
        <w:numPr>
          <w:ilvl w:val="0"/>
          <w:numId w:val="19"/>
        </w:numPr>
      </w:pPr>
      <w:r>
        <w:t xml:space="preserve">The bank's relationship manager is told in writing before a material change takes effect.</w:t>
      </w:r>
    </w:p>
    <w:p>
      <w:pPr>
        <w:pStyle w:val="ListParagraph"/>
        <w:numPr>
          <w:ilvl w:val="0"/>
          <w:numId w:val="19"/>
        </w:numPr>
      </w:pPr>
      <w:r>
        <w:t xml:space="preserve">Training on the change happens within 30 days.</w:t>
      </w:r>
    </w:p>
    <w:p>
      <w:pPr/>
      <w:r>
        <w:t xml:space="preserve">Typo and link fixes need only a version-log entry.</w:t>
      </w:r>
    </w:p>
    <w:p>
      <w:pPr>
        <w:pStyle w:val="Heading3"/>
      </w:pPr>
      <w:r>
        <w:t xml:space="preserve">11.4 Version 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Change</w:t>
            </w:r>
          </w:p>
        </w:tc>
        <w:tc>
          <w:tcPr>
            <w:tcW w:w="2340" w:type="dxa"/>
            <w:shd w:val="clear" w:color="auto" w:fill="F2F2F2"/>
          </w:tcPr>
          <w:p>
            <w:pPr/>
            <w:r>
              <w:t xml:space="preserve">By</w:t>
            </w:r>
          </w:p>
        </w:tc>
      </w:tr>
      <w:tr>
        <w:tc>
          <w:tcPr>
            <w:tcW w:w="2340" w:type="dxa"/>
          </w:tcPr>
          <w:p>
            <w:pPr/>
            <w:r>
              <w:t xml:space="preserve">0.1</w:t>
            </w:r>
          </w:p>
        </w:tc>
        <w:tc>
          <w:tcPr>
            <w:tcW w:w="2340" w:type="dxa"/>
          </w:tcPr>
          <w:p>
            <w:pPr/>
            <w:r>
              <w:t xml:space="preserve">27 Sep 2026</w:t>
            </w:r>
          </w:p>
        </w:tc>
        <w:tc>
          <w:tcPr>
            <w:tcW w:w="2340" w:type="dxa"/>
          </w:tcPr>
          <w:p>
            <w:pPr/>
            <w:r>
              <w:t xml:space="preserve">First draft for counsel review; not adopted</w:t>
            </w:r>
          </w:p>
        </w:tc>
        <w:tc>
          <w:tcPr>
            <w:tcW w:w="2340" w:type="dxa"/>
          </w:tcPr>
          <w:p>
            <w:pPr/>
            <w:r>
              <w:t xml:space="preserve">Managing Member</w:t>
            </w:r>
          </w:p>
        </w:tc>
      </w:tr>
    </w:tbl>
    <w:p>
      <w:pPr>
        <w:pStyle w:val="Heading2"/>
      </w:pPr>
      <w:r>
        <w:t xml:space="preserve">12. Items requiring licensed counsel before adoption</w:t>
      </w:r>
    </w:p>
    <w:p>
      <w:pPr/>
      <w:r>
        <w:t xml:space="preserve">Two of these are gating: without an answer on terminal charges, nothing ships, and without the MSB determination, the bank application does not go in. The rest must be settled before the Program is signed.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Question for counsel</w:t>
            </w:r>
          </w:p>
        </w:tc>
        <w:tc>
          <w:tcPr>
            <w:tcW w:w="2340" w:type="dxa"/>
            <w:shd w:val="clear" w:color="auto" w:fill="F2F2F2"/>
          </w:tcPr>
          <w:p>
            <w:pPr/>
            <w:r>
              <w:t xml:space="preserve">Section</w:t>
            </w:r>
          </w:p>
        </w:tc>
        <w:tc>
          <w:tcPr>
            <w:tcW w:w="2340" w:type="dxa"/>
            <w:shd w:val="clear" w:color="auto" w:fill="F2F2F2"/>
          </w:tcPr>
          <w:p>
            <w:pPr/>
            <w:r>
              <w:t xml:space="preserve">Blocks</w:t>
            </w:r>
          </w:p>
        </w:tc>
      </w:tr>
      <w:tr>
        <w:tc>
          <w:tcPr>
            <w:tcW w:w="2340" w:type="dxa"/>
          </w:tcPr>
          <w:p>
            <w:pPr/>
            <w:r>
              <w:t xml:space="preserve">C1</w:t>
            </w:r>
          </w:p>
        </w:tc>
        <w:tc>
          <w:tcPr>
            <w:tcW w:w="2340" w:type="dxa"/>
          </w:tcPr>
          <w:p>
            <w:pPr/>
            <w:r>
              <w:t xml:space="preserve">Are charges the forwarder pays at a designated Mariel terminal, or settles through Banco Exterior de Cuba, ordinarily incident to an authorized AGR export under § 515.533, and so within Cuba GL 1?</w:t>
            </w:r>
          </w:p>
        </w:tc>
        <w:tc>
          <w:tcPr>
            <w:tcW w:w="2340" w:type="dxa"/>
          </w:tcPr>
          <w:p>
            <w:pPr/>
            <w:r>
              <w:t xml:space="preserve">4 (R2), 5.7</w:t>
            </w:r>
          </w:p>
        </w:tc>
        <w:tc>
          <w:tcPr>
            <w:tcW w:w="2340" w:type="dxa"/>
          </w:tcPr>
          <w:p>
            <w:pPr/>
            <w:r>
              <w:rPr>
                <w:b/>
              </w:rPr>
              <w:t xml:space="preserve">First shipment — go/no-go</w:t>
            </w:r>
          </w:p>
        </w:tc>
      </w:tr>
      <w:tr>
        <w:tc>
          <w:tcPr>
            <w:tcW w:w="2340" w:type="dxa"/>
          </w:tcPr>
          <w:p>
            <w:pPr/>
            <w:r>
              <w:t xml:space="preserve">C2</w:t>
            </w:r>
          </w:p>
        </w:tc>
        <w:tc>
          <w:tcPr>
            <w:tcW w:w="2340" w:type="dxa"/>
          </w:tcPr>
          <w:p>
            <w:pPr/>
            <w:r>
              <w:t xml:space="preserve">Written MSB determination: does the merchant-of-record model fall within 31 CFR § 1010.100(ff)(5)(ii)(F), and is a Florida license required under Chapter 560, Part II?</w:t>
            </w:r>
          </w:p>
        </w:tc>
        <w:tc>
          <w:tcPr>
            <w:tcW w:w="2340" w:type="dxa"/>
          </w:tcPr>
          <w:p>
            <w:pPr/>
            <w:r>
              <w:t xml:space="preserve">8.4</w:t>
            </w:r>
          </w:p>
        </w:tc>
        <w:tc>
          <w:tcPr>
            <w:tcW w:w="2340" w:type="dxa"/>
          </w:tcPr>
          <w:p>
            <w:pPr/>
            <w:r>
              <w:rPr>
                <w:b/>
              </w:rPr>
              <w:t xml:space="preserve">Bank application</w:t>
            </w:r>
          </w:p>
        </w:tc>
      </w:tr>
      <w:tr>
        <w:tc>
          <w:tcPr>
            <w:tcW w:w="2340" w:type="dxa"/>
          </w:tcPr>
          <w:p>
            <w:pPr/>
            <w:r>
              <w:t xml:space="preserve">C3</w:t>
            </w:r>
          </w:p>
        </w:tc>
        <w:tc>
          <w:tcPr>
            <w:tcW w:w="2340" w:type="dxa"/>
          </w:tcPr>
          <w:p>
            <w:pPr/>
            <w:r>
              <w:t xml:space="preserve">Do accepted checkout terms with a U.S. buyer satisfy AGR's written-contract requirement when the consignee is a Cuban household? Can one SNAP-R notification cover many household consignees, and how should they be described?</w:t>
            </w:r>
          </w:p>
        </w:tc>
        <w:tc>
          <w:tcPr>
            <w:tcW w:w="2340" w:type="dxa"/>
          </w:tcPr>
          <w:p>
            <w:pPr/>
            <w:r>
              <w:t xml:space="preserve">5.2</w:t>
            </w:r>
          </w:p>
        </w:tc>
        <w:tc>
          <w:tcPr>
            <w:tcW w:w="2340" w:type="dxa"/>
          </w:tcPr>
          <w:p>
            <w:pPr/>
            <w:r>
              <w:t xml:space="preserve">First AGR notification</w:t>
            </w:r>
          </w:p>
        </w:tc>
      </w:tr>
      <w:tr>
        <w:tc>
          <w:tcPr>
            <w:tcW w:w="2340" w:type="dxa"/>
          </w:tcPr>
          <w:p>
            <w:pPr/>
            <w:r>
              <w:t xml:space="preserve">C4</w:t>
            </w:r>
          </w:p>
        </w:tc>
        <w:tc>
          <w:tcPr>
            <w:tcW w:w="2340" w:type="dxa"/>
          </w:tcPr>
          <w:p>
            <w:pPr/>
            <w:r>
              <w:t xml:space="preserve">Do the terms of sale (payment captured before release; title passes only after payment) satisfy cash in advance under § 515.533(a) and 22 U.S.C. § 7207(b)?</w:t>
            </w:r>
          </w:p>
        </w:tc>
        <w:tc>
          <w:tcPr>
            <w:tcW w:w="2340" w:type="dxa"/>
          </w:tcPr>
          <w:p>
            <w:pPr/>
            <w:r>
              <w:t xml:space="preserve">5.5</w:t>
            </w:r>
          </w:p>
        </w:tc>
        <w:tc>
          <w:tcPr>
            <w:tcW w:w="2340" w:type="dxa"/>
          </w:tcPr>
          <w:p>
            <w:pPr/>
            <w:r>
              <w:t xml:space="preserve">Terms of sale</w:t>
            </w:r>
          </w:p>
        </w:tc>
      </w:tr>
      <w:tr>
        <w:tc>
          <w:tcPr>
            <w:tcW w:w="2340" w:type="dxa"/>
          </w:tcPr>
          <w:p>
            <w:pPr/>
            <w:r>
              <w:t xml:space="preserve">C5</w:t>
            </w:r>
          </w:p>
        </w:tc>
        <w:tc>
          <w:tcPr>
            <w:tcW w:w="2340" w:type="dxa"/>
          </w:tcPr>
          <w:p>
            <w:pPr/>
            <w:r>
              <w:t xml:space="preserve">May foreign-origin food held in U.S. inventory be exported under AGR, and what records prove eligibility?</w:t>
            </w:r>
          </w:p>
        </w:tc>
        <w:tc>
          <w:tcPr>
            <w:tcW w:w="2340" w:type="dxa"/>
          </w:tcPr>
          <w:p>
            <w:pPr/>
            <w:r>
              <w:t xml:space="preserve">5.2</w:t>
            </w:r>
          </w:p>
        </w:tc>
        <w:tc>
          <w:tcPr>
            <w:tcW w:w="2340" w:type="dxa"/>
          </w:tcPr>
          <w:p>
            <w:pPr/>
            <w:r>
              <w:t xml:space="preserve">Adding non-U.S.-origin SKUs</w:t>
            </w:r>
          </w:p>
        </w:tc>
      </w:tr>
      <w:tr>
        <w:tc>
          <w:tcPr>
            <w:tcW w:w="2340" w:type="dxa"/>
          </w:tcPr>
          <w:p>
            <w:pPr/>
            <w:r>
              <w:t xml:space="preserve">C6</w:t>
            </w:r>
          </w:p>
        </w:tc>
        <w:tc>
          <w:tcPr>
            <w:tcW w:w="2340" w:type="dxa"/>
          </w:tcPr>
          <w:p>
            <w:pPr/>
            <w:r>
              <w:t xml:space="preserve">When a merchant declines an order at screening before money moves, is that a "rejected transaction" reportable under § 501.604?</w:t>
            </w:r>
          </w:p>
        </w:tc>
        <w:tc>
          <w:tcPr>
            <w:tcW w:w="2340" w:type="dxa"/>
          </w:tcPr>
          <w:p>
            <w:pPr/>
            <w:r>
              <w:t xml:space="preserve">8.1</w:t>
            </w:r>
          </w:p>
        </w:tc>
        <w:tc>
          <w:tcPr>
            <w:tcW w:w="2340" w:type="dxa"/>
          </w:tcPr>
          <w:p>
            <w:pPr/>
            <w:r>
              <w:t xml:space="preserve">Report practice</w:t>
            </w:r>
          </w:p>
        </w:tc>
      </w:tr>
      <w:tr>
        <w:tc>
          <w:tcPr>
            <w:tcW w:w="2340" w:type="dxa"/>
          </w:tcPr>
          <w:p>
            <w:pPr/>
            <w:r>
              <w:t xml:space="preserve">C7</w:t>
            </w:r>
          </w:p>
        </w:tc>
        <w:tc>
          <w:tcPr>
            <w:tcW w:w="2340" w:type="dxa"/>
          </w:tcPr>
          <w:p>
            <w:pPr/>
            <w:r>
              <w:t xml:space="preserve">The Program refuses sales to any listed party even where § 515.533 plus GL 1 might arguably authorize them. Confirm the policy, and the blocking mechanics when a card payment from a blocked person has already settled.</w:t>
            </w:r>
          </w:p>
        </w:tc>
        <w:tc>
          <w:tcPr>
            <w:tcW w:w="2340" w:type="dxa"/>
          </w:tcPr>
          <w:p>
            <w:pPr/>
            <w:r>
              <w:t xml:space="preserve">5.1, 6.1</w:t>
            </w:r>
          </w:p>
        </w:tc>
        <w:tc>
          <w:tcPr>
            <w:tcW w:w="2340" w:type="dxa"/>
          </w:tcPr>
          <w:p>
            <w:pPr/>
            <w:r>
              <w:t xml:space="preserve">Adoption</w:t>
            </w:r>
          </w:p>
        </w:tc>
      </w:tr>
      <w:tr>
        <w:tc>
          <w:tcPr>
            <w:tcW w:w="2340" w:type="dxa"/>
          </w:tcPr>
          <w:p>
            <w:pPr/>
            <w:r>
              <w:t xml:space="preserve">C8</w:t>
            </w:r>
          </w:p>
        </w:tc>
        <w:tc>
          <w:tcPr>
            <w:tcW w:w="2340" w:type="dxa"/>
          </w:tcPr>
          <w:p>
            <w:pPr/>
            <w:r>
              <w:t xml:space="preserve">What data-security obligations attach to storing recipients' Cuban ID numbers and customers' personal data?</w:t>
            </w:r>
          </w:p>
        </w:tc>
        <w:tc>
          <w:tcPr>
            <w:tcW w:w="2340" w:type="dxa"/>
          </w:tcPr>
          <w:p>
            <w:pPr/>
            <w:r>
              <w:t xml:space="preserve">5.4, 7.4</w:t>
            </w:r>
          </w:p>
        </w:tc>
        <w:tc>
          <w:tcPr>
            <w:tcW w:w="2340" w:type="dxa"/>
          </w:tcPr>
          <w:p>
            <w:pPr/>
            <w:r>
              <w:t xml:space="preserve">Launch</w:t>
            </w:r>
          </w:p>
        </w:tc>
      </w:tr>
      <w:tr>
        <w:tc>
          <w:tcPr>
            <w:tcW w:w="2340" w:type="dxa"/>
          </w:tcPr>
          <w:p>
            <w:pPr/>
            <w:r>
              <w:t xml:space="preserve">C9</w:t>
            </w:r>
          </w:p>
        </w:tc>
        <w:tc>
          <w:tcPr>
            <w:tcW w:w="2340" w:type="dxa"/>
          </w:tcPr>
          <w:p>
            <w:pPr/>
            <w:r>
              <w:t xml:space="preserve">Review the Program as a whole and the adoption resolution. Confirm the Tax Collector authorization statement matches Section 3.1.</w:t>
            </w:r>
          </w:p>
        </w:tc>
        <w:tc>
          <w:tcPr>
            <w:tcW w:w="2340" w:type="dxa"/>
          </w:tcPr>
          <w:p>
            <w:pPr/>
            <w:r>
              <w:t xml:space="preserve">All</w:t>
            </w:r>
          </w:p>
        </w:tc>
        <w:tc>
          <w:tcPr>
            <w:tcW w:w="2340" w:type="dxa"/>
          </w:tcPr>
          <w:p>
            <w:pPr/>
            <w:r>
              <w:t xml:space="preserve">Adoption</w:t>
            </w:r>
          </w:p>
        </w:tc>
      </w:tr>
    </w:tbl>
    <w:p>
      <w:pPr/>
      <w:r>
        <w:t xml:space="preserve">None of this document is legal advice to be acted on without that review; it is the draft counsel is asked to review.</w:t>
      </w:r>
    </w:p>
    <w:p>
      <w:pPr>
        <w:pStyle w:val="Heading2"/>
      </w:pPr>
      <w:r>
        <w:t xml:space="preserve">Appendices</w:t>
      </w:r>
    </w:p>
    <w:p>
      <w:pPr>
        <w:pStyle w:val="Heading3"/>
      </w:pPr>
      <w:r>
        <w:t xml:space="preserve">Appendix A — Per-order compliance checklist</w:t>
      </w:r>
    </w:p>
    <w:p>
      <w:pPr/>
      <w:r>
        <w:t xml:space="preserve">Copy into each order folder; every line is initialled and dated by the SCO.</w:t>
      </w:r>
    </w:p>
    <w:p>
      <w:pPr>
        <w:pStyle w:val="Code"/>
      </w:pPr>
      <w:bookmarkStart w:id="1" w:name="bongo_lang_markdown_1"/>
      <w:bookmarkEnd w:id="1"/>
      <w:r>
        <w:t xml:space="preserve">ORDER #______   Payer: ______________   Recipient: ______________</w:t>
        <w:br/>
        <w:br/>
        <w:t xml:space="preserve">GATE 1  Checkout eligibility</w:t>
        <w:br/>
        <w:t xml:space="preserve">[ ] Every SKU in the SKU eligibility file (EAR99, AGR-eligible, U.S.-origin)</w:t>
        <w:br/>
        <w:t xml:space="preserve">[ ] Payer in U.S.; U.S.-issued card or U.S. bank account; name matches</w:t>
        <w:br/>
        <w:t xml:space="preserve">[ ] Recipient is a private household; address reviewed; attestation signed</w:t>
        <w:br/>
        <w:t xml:space="preserve">[ ] Quantities within household limits</w:t>
        <w:br/>
        <w:br/>
        <w:t xml:space="preserve">GATE 2  Screening (run 1)          Date: ______</w:t>
        <w:br/>
        <w:t xml:space="preserve">[ ] Payer: SDN / CRL / CSL -- result saved</w:t>
        <w:br/>
        <w:t xml:space="preserve">[ ] Recipient: SDN / CRL / CSL, all name variants -- result saved</w:t>
        <w:br/>
        <w:br/>
        <w:t xml:space="preserve">GATE 3  Red-flag review            Date: ______</w:t>
        <w:br/>
        <w:t xml:space="preserve">[ ] No Appendix C flag, or flag cleared with written reason</w:t>
        <w:br/>
        <w:br/>
        <w:t xml:space="preserve">GATE 4  AGR coverage</w:t>
        <w:br/>
        <w:t xml:space="preserve">[ ] Notification no. ______ registered ______ no objection ______</w:t>
        <w:br/>
        <w:t xml:space="preserve">[ ] Notification in date and lists every SKU in this order</w:t>
        <w:br/>
        <w:br/>
        <w:t xml:space="preserve">GATE 5  Pre-shipment re-screen     Date: ______ (within 1 business day of handover)</w:t>
        <w:br/>
        <w:t xml:space="preserve">[ ] Payer, recipient, and forwarder chain re-screened -- no new hits</w:t>
        <w:br/>
        <w:t xml:space="preserve">[ ] Payment settled on ______, before handover on ______</w:t>
        <w:br/>
        <w:br/>
        <w:t xml:space="preserve">GATE 6  Export filing and file</w:t>
        <w:br/>
        <w:t xml:space="preserve">[ ] EEI filed, ITN ______, AGR license-exception code used</w:t>
        <w:br/>
        <w:t xml:space="preserve">[ ] Invoice, packing list, and booking saved</w:t>
        <w:br/>
        <w:br/>
        <w:t xml:space="preserve">RELEASED TO FORWARDER: ______   SCO initials: ____</w:t>
      </w:r>
    </w:p>
    <w:p>
      <w:pPr>
        <w:pStyle w:val="Heading3"/>
      </w:pPr>
      <w:r>
        <w:t xml:space="preserve">Appendix B — Log formats</w:t>
      </w:r>
    </w:p>
    <w:p>
      <w:pPr/>
      <w:r>
        <w:rPr>
          <w:b/>
        </w:rPr>
        <w:t xml:space="preserve">Screening log</w:t>
      </w:r>
      <w:r>
        <w:t xml:space="preserve"> — one row per party per screening run.</w:t>
      </w:r>
    </w:p>
    <w:p>
      <w:pPr>
        <w:pStyle w:val="Code"/>
      </w:pPr>
      <w:bookmarkStart w:id="2" w:name="bongo_lang_csv_2"/>
      <w:bookmarkEnd w:id="2"/>
      <w:r>
        <w:t xml:space="preserve">run_datetime,order_id,party_role,full_name,surname_1,surname_2,date_of_birth,address,lists_checked,tool,variants_searched,result,adjudication,adjudicated_by,evidence_file</w:t>
        <w:br/>
        <w:t xml:space="preserve">2026-10-01T10:15,EXAMPLE-0001,recipient,Nombre Apellido Apellido,Apellido,Apellido,,Street and city,SDN;CRL;CSL,OFAC SLS + CSL,full/surname1/surname2/no-accents,no match,,SCO,EXAMPLE-0001/screen-run1.pdf</w:t>
      </w:r>
    </w:p>
    <w:p>
      <w:pPr/>
      <w:r>
        <w:rPr>
          <w:b/>
        </w:rPr>
        <w:t xml:space="preserve">AGR notification log</w:t>
      </w:r>
      <w:r>
        <w:t xml:space="preserve"> — one row per SNAP-R notification.</w:t>
      </w:r>
    </w:p>
    <w:p>
      <w:pPr>
        <w:pStyle w:val="Code"/>
      </w:pPr>
      <w:bookmarkStart w:id="3" w:name="bongo_lang_csv_3"/>
      <w:bookmarkEnd w:id="3"/>
      <w:r>
        <w:t xml:space="preserve">registration_no,date_registered,date_no_objection,commodities_covered,consignee_description,contract_deadline,export_deadline,status</w:t>
      </w:r>
    </w:p>
    <w:p>
      <w:pPr>
        <w:pStyle w:val="Heading3"/>
      </w:pPr>
      <w:r>
        <w:t xml:space="preserve">Appendix C — Red flags</w:t>
      </w:r>
    </w:p>
    <w:p>
      <w:pPr/>
      <w:r>
        <w:t xml:space="preserve">Any one of these sends the order to Gate 3 review; several together point toward rejection.</w:t>
      </w:r>
    </w:p>
    <w:p>
      <w:pPr/>
      <w:r>
        <w:rPr>
          <w:b/>
        </w:rPr>
        <w:t xml:space="preserve">Payer</w:t>
      </w:r>
    </w:p>
    <w:p>
      <w:pPr>
        <w:pStyle w:val="ListParagraph"/>
        <w:numPr>
          <w:ilvl w:val="0"/>
          <w:numId w:val="20"/>
        </w:numPr>
      </w:pPr>
      <w:r>
        <w:t xml:space="preserve">Asks to pay in cash, by Zelle, PayPal, crypto, or from someone else's card or account.</w:t>
      </w:r>
    </w:p>
    <w:p>
      <w:pPr>
        <w:pStyle w:val="ListParagraph"/>
        <w:numPr>
          <w:ilvl w:val="0"/>
          <w:numId w:val="20"/>
        </w:numPr>
      </w:pPr>
      <w:r>
        <w:t xml:space="preserve">Card or bank is foreign, or billing address is outside the U.S.</w:t>
      </w:r>
    </w:p>
    <w:p>
      <w:pPr>
        <w:pStyle w:val="ListParagraph"/>
        <w:numPr>
          <w:ilvl w:val="0"/>
          <w:numId w:val="20"/>
        </w:numPr>
      </w:pPr>
      <w:r>
        <w:t xml:space="preserve">Places many orders for many unrelated recipients, or splits one large order into small ones.</w:t>
      </w:r>
    </w:p>
    <w:p>
      <w:pPr>
        <w:pStyle w:val="ListParagraph"/>
        <w:numPr>
          <w:ilvl w:val="0"/>
          <w:numId w:val="20"/>
        </w:numPr>
      </w:pPr>
      <w:r>
        <w:t xml:space="preserve">Asks whether the business is "licensed by OFAC" in a way that suggests they want cover for something else, or asks how to avoid screening.</w:t>
      </w:r>
    </w:p>
    <w:p>
      <w:pPr/>
      <w:r>
        <w:rPr>
          <w:b/>
        </w:rPr>
        <w:t xml:space="preserve">Recipient</w:t>
      </w:r>
    </w:p>
    <w:p>
      <w:pPr>
        <w:pStyle w:val="ListParagraph"/>
        <w:numPr>
          <w:ilvl w:val="0"/>
          <w:numId w:val="21"/>
        </w:numPr>
      </w:pPr>
      <w:r>
        <w:t xml:space="preserve">Address is, or looks like, a ministry, state enterprise, military or police site, party office, hotel, warehouse, or shop.</w:t>
      </w:r>
    </w:p>
    <w:p>
      <w:pPr>
        <w:pStyle w:val="ListParagraph"/>
        <w:numPr>
          <w:ilvl w:val="0"/>
          <w:numId w:val="21"/>
        </w:numPr>
      </w:pPr>
      <w:r>
        <w:t xml:space="preserve">Recipient receives from three or more unrelated payers in 30 days.</w:t>
      </w:r>
    </w:p>
    <w:p>
      <w:pPr>
        <w:pStyle w:val="ListParagraph"/>
        <w:numPr>
          <w:ilvl w:val="0"/>
          <w:numId w:val="21"/>
        </w:numPr>
      </w:pPr>
      <w:r>
        <w:t xml:space="preserve">Recipient name is a near-match to a listed person, or shares a surname and town with a designated official.</w:t>
      </w:r>
    </w:p>
    <w:p>
      <w:pPr>
        <w:pStyle w:val="ListParagraph"/>
        <w:numPr>
          <w:ilvl w:val="0"/>
          <w:numId w:val="21"/>
        </w:numPr>
      </w:pPr>
      <w:r>
        <w:t xml:space="preserve">Payer cannot explain the relationship, or the relationship changes between orders.</w:t>
      </w:r>
    </w:p>
    <w:p>
      <w:pPr/>
      <w:r>
        <w:rPr>
          <w:b/>
        </w:rPr>
        <w:t xml:space="preserve">Order</w:t>
      </w:r>
    </w:p>
    <w:p>
      <w:pPr>
        <w:pStyle w:val="ListParagraph"/>
        <w:numPr>
          <w:ilvl w:val="0"/>
          <w:numId w:val="22"/>
        </w:numPr>
      </w:pPr>
      <w:r>
        <w:t xml:space="preserve">Quantities beyond household consumption, or repeated bulk orders of one staple.</w:t>
      </w:r>
    </w:p>
    <w:p>
      <w:pPr>
        <w:pStyle w:val="ListParagraph"/>
        <w:numPr>
          <w:ilvl w:val="0"/>
          <w:numId w:val="22"/>
        </w:numPr>
      </w:pPr>
      <w:r>
        <w:t xml:space="preserve">Request to change the recipient or address after payment.</w:t>
      </w:r>
    </w:p>
    <w:p>
      <w:pPr>
        <w:pStyle w:val="ListParagraph"/>
        <w:numPr>
          <w:ilvl w:val="0"/>
          <w:numId w:val="22"/>
        </w:numPr>
      </w:pPr>
      <w:r>
        <w:t xml:space="preserve">Request for store credit, a voucher, cash on delivery, or for the recipient to choose "equivalent" goods.</w:t>
      </w:r>
    </w:p>
    <w:p>
      <w:pPr>
        <w:pStyle w:val="ListParagraph"/>
        <w:numPr>
          <w:ilvl w:val="0"/>
          <w:numId w:val="22"/>
        </w:numPr>
      </w:pPr>
      <w:r>
        <w:t xml:space="preserve">Request to combine the order with goods bought in Cuba or with non-food items.</w:t>
      </w:r>
    </w:p>
    <w:p>
      <w:pPr/>
      <w:r>
        <w:rPr>
          <w:b/>
        </w:rPr>
        <w:t xml:space="preserve">Counterparties and logistics</w:t>
      </w:r>
    </w:p>
    <w:p>
      <w:pPr>
        <w:pStyle w:val="ListParagraph"/>
        <w:numPr>
          <w:ilvl w:val="0"/>
          <w:numId w:val="23"/>
        </w:numPr>
      </w:pPr>
      <w:r>
        <w:t xml:space="preserve">The forwarder will not name its Cuban-side partners or its settlement bank.</w:t>
      </w:r>
    </w:p>
    <w:p>
      <w:pPr>
        <w:pStyle w:val="ListParagraph"/>
        <w:numPr>
          <w:ilvl w:val="0"/>
          <w:numId w:val="23"/>
        </w:numPr>
      </w:pPr>
      <w:r>
        <w:t xml:space="preserve">The forwarder proposes invoicing Cuban-side charges separately, or asks Vivara to pay a third-country account.</w:t>
      </w:r>
    </w:p>
    <w:p>
      <w:pPr>
        <w:pStyle w:val="ListParagraph"/>
        <w:numPr>
          <w:ilvl w:val="0"/>
          <w:numId w:val="23"/>
        </w:numPr>
      </w:pPr>
      <w:r>
        <w:t xml:space="preserve">A Cuban-side party proposes settlement in USDT or in merchandise.</w:t>
      </w:r>
    </w:p>
    <w:p>
      <w:pPr>
        <w:pStyle w:val="ListParagraph"/>
        <w:numPr>
          <w:ilvl w:val="0"/>
          <w:numId w:val="23"/>
        </w:numPr>
      </w:pPr>
      <w:r>
        <w:t xml:space="preserve">An affiliate uses "envíos," "remesas," "send money," or delivery guarantees in its marketing.</w:t>
      </w:r>
    </w:p>
    <w:p>
      <w:pPr>
        <w:pStyle w:val="Heading3"/>
      </w:pPr>
      <w:r>
        <w:t xml:space="preserve">Appendix D — Adoption resolution and acknowledgment</w:t>
      </w:r>
    </w:p>
    <w:p>
      <w:pPr>
        <w:pStyle w:val="Code"/>
      </w:pPr>
      <w:bookmarkStart w:id="4" w:name="bongo_lang_markdown_4"/>
      <w:bookmarkEnd w:id="4"/>
      <w:r>
        <w:t xml:space="preserve">WRITTEN CONSENT OF THE SOLE MEMBER</w:t>
        <w:br/>
        <w:t xml:space="preserve">Vivara Provisions LLC, a Florida limited liability company</w:t>
        <w:br/>
        <w:br/>
        <w:t xml:space="preserve">The undersigned, being the sole member and Managing Member of the Company,</w:t>
        <w:br/>
        <w:t xml:space="preserve">adopts the following resolutions by written consent:</w:t>
        <w:br/>
        <w:br/>
        <w:t xml:space="preserve">1. The Written OFAC Sanctions Compliance Program, version ___, dated ______,</w:t>
        <w:br/>
        <w:t xml:space="preserve">   is adopted and takes effect on ______.</w:t>
        <w:br/>
        <w:t xml:space="preserve">2. Jose Marquez is designated Sanctions Compliance Officer, with the authority</w:t>
        <w:br/>
        <w:t xml:space="preserve">   and duties in Section 2 of the Program.</w:t>
        <w:br/>
        <w:t xml:space="preserve">3. The Company commits the resources listed in Section 2.2.</w:t>
        <w:br/>
        <w:t xml:space="preserve">4. No order may be accepted or shipped except in compliance with the Program.</w:t>
        <w:br/>
        <w:br/>
        <w:t xml:space="preserve">Counsel review completed on ______ by ______________________.</w:t>
        <w:br/>
        <w:br/>
        <w:t xml:space="preserve">______________________________</w:t>
        <w:br/>
        <w:t xml:space="preserve">Jose Marquez, Managing Member, Vivara Provisions LLC     Date: ______</w:t>
        <w:br/>
        <w:br/>
        <w:t xml:space="preserve">ACKNOWLEDGMENT</w:t>
        <w:br/>
        <w:t xml:space="preserve">I have read the Program, completed the training in Section 9, and will follow it.</w:t>
        <w:br/>
        <w:br/>
        <w:t xml:space="preserve">Name: ______________   Role: ______________   Signature: ______________   Date: ______</w:t>
      </w:r>
    </w:p>
    <w:p>
      <w:pPr>
        <w:pStyle w:val="Heading2"/>
      </w:pPr>
      <w:r>
        <w:t xml:space="preserve">Sources</w:t>
      </w:r>
    </w:p>
    <w:p>
      <w:pPr>
        <w:pStyle w:val="ListParagraph"/>
        <w:numPr>
          <w:ilvl w:val="0"/>
          <w:numId w:val="24"/>
        </w:numPr>
      </w:pPr>
      <w:r>
        <w:t xml:space="preserve">OFAC, </w:t>
      </w:r>
      <w:hyperlink r:id="rId3" w:history="1">
        <w:r>
          <w:rPr>
            <w:rStyle w:val="Hyperlink"/>
          </w:rPr>
          <w:t xml:space="preserve">A Framework for OFAC Compliance Commitments</w:t>
        </w:r>
      </w:hyperlink>
      <w:r>
        <w:t xml:space="preserve"> (May 2019)</w:t>
      </w:r>
    </w:p>
    <w:p>
      <w:pPr>
        <w:pStyle w:val="ListParagraph"/>
        <w:numPr>
          <w:ilvl w:val="0"/>
          <w:numId w:val="24"/>
        </w:numPr>
      </w:pPr>
      <w:r>
        <w:t xml:space="preserve">OFAC, </w:t>
      </w:r>
      <w:hyperlink r:id="rId10" w:history="1">
        <w:r>
          <w:rPr>
            <w:rStyle w:val="Hyperlink"/>
          </w:rPr>
          <w:t xml:space="preserve">FAQ 1251</w:t>
        </w:r>
      </w:hyperlink>
      <w:r>
        <w:t xml:space="preserve">, </w:t>
      </w:r>
      <w:hyperlink r:id="rId11" w:history="1">
        <w:r>
          <w:rPr>
            <w:rStyle w:val="Hyperlink"/>
          </w:rPr>
          <w:t xml:space="preserve">FAQs 1252–1256</w:t>
        </w:r>
      </w:hyperlink>
      <w:r>
        <w:t xml:space="preserve">, </w:t>
      </w:r>
      <w:hyperlink r:id="rId12" w:history="1">
        <w:r>
          <w:rPr>
            <w:rStyle w:val="Hyperlink"/>
          </w:rPr>
          <w:t xml:space="preserve">FAQ 1258</w:t>
        </w:r>
      </w:hyperlink>
      <w:r>
        <w:t xml:space="preserve">, </w:t>
      </w:r>
      <w:hyperlink r:id="rId18" w:history="1">
        <w:r>
          <w:rPr>
            <w:rStyle w:val="Hyperlink"/>
          </w:rPr>
          <w:t xml:space="preserve">FAQ 1264</w:t>
        </w:r>
      </w:hyperlink>
      <w:r>
        <w:t xml:space="preserve">, </w:t>
      </w:r>
      <w:hyperlink r:id="rId16" w:history="1">
        <w:r>
          <w:rPr>
            <w:rStyle w:val="Hyperlink"/>
          </w:rPr>
          <w:t xml:space="preserve">FAQ 1265</w:t>
        </w:r>
      </w:hyperlink>
    </w:p>
    <w:p>
      <w:pPr>
        <w:pStyle w:val="ListParagraph"/>
        <w:numPr>
          <w:ilvl w:val="0"/>
          <w:numId w:val="24"/>
        </w:numPr>
      </w:pPr>
      <w:r>
        <w:t xml:space="preserve">OFAC Recent Actions, </w:t>
      </w:r>
      <w:hyperlink r:id="rId14" w:history="1">
        <w:r>
          <w:rPr>
            <w:rStyle w:val="Hyperlink"/>
          </w:rPr>
          <w:t xml:space="preserve">23 Jul 2026</w:t>
        </w:r>
      </w:hyperlink>
      <w:r>
        <w:t xml:space="preserve"> and </w:t>
      </w:r>
      <w:hyperlink r:id="rId15" w:history="1">
        <w:r>
          <w:rPr>
            <w:rStyle w:val="Hyperlink"/>
          </w:rPr>
          <w:t xml:space="preserve">3 Sep 2026</w:t>
        </w:r>
      </w:hyperlink>
    </w:p>
    <w:p>
      <w:pPr>
        <w:pStyle w:val="ListParagraph"/>
        <w:numPr>
          <w:ilvl w:val="0"/>
          <w:numId w:val="24"/>
        </w:numPr>
      </w:pPr>
      <w:hyperlink r:id="rId9" w:history="1">
        <w:r>
          <w:rPr>
            <w:rStyle w:val="Hyperlink"/>
          </w:rPr>
          <w:t xml:space="preserve">31 CFR § 515.209</w:t>
        </w:r>
      </w:hyperlink>
      <w:r>
        <w:t xml:space="preserve">, </w:t>
      </w:r>
      <w:hyperlink r:id="rId6" w:history="1">
        <w:r>
          <w:rPr>
            <w:rStyle w:val="Hyperlink"/>
          </w:rPr>
          <w:t xml:space="preserve">§ 515.533</w:t>
        </w:r>
      </w:hyperlink>
      <w:r>
        <w:t xml:space="preserve">, </w:t>
      </w:r>
      <w:hyperlink r:id="rId27" w:history="1">
        <w:r>
          <w:rPr>
            <w:rStyle w:val="Hyperlink"/>
          </w:rPr>
          <w:t xml:space="preserve">§ 501.601</w:t>
        </w:r>
      </w:hyperlink>
      <w:r>
        <w:t xml:space="preserve">, </w:t>
      </w:r>
      <w:hyperlink r:id="rId22" w:history="1">
        <w:r>
          <w:rPr>
            <w:rStyle w:val="Hyperlink"/>
          </w:rPr>
          <w:t xml:space="preserve">§ 501.603</w:t>
        </w:r>
      </w:hyperlink>
      <w:r>
        <w:t xml:space="preserve">, </w:t>
      </w:r>
      <w:hyperlink r:id="rId24" w:history="1">
        <w:r>
          <w:rPr>
            <w:rStyle w:val="Hyperlink"/>
          </w:rPr>
          <w:t xml:space="preserve">§ 501.604</w:t>
        </w:r>
      </w:hyperlink>
    </w:p>
    <w:p>
      <w:pPr>
        <w:pStyle w:val="ListParagraph"/>
        <w:numPr>
          <w:ilvl w:val="0"/>
          <w:numId w:val="24"/>
        </w:numPr>
      </w:pPr>
      <w:hyperlink r:id="rId4" w:history="1">
        <w:r>
          <w:rPr>
            <w:rStyle w:val="Hyperlink"/>
          </w:rPr>
          <w:t xml:space="preserve">15 CFR § 740.18</w:t>
        </w:r>
      </w:hyperlink>
      <w:r>
        <w:t xml:space="preserve">; BIS, </w:t>
      </w:r>
      <w:hyperlink r:id="rId17" w:history="1">
        <w:r>
          <w:rPr>
            <w:rStyle w:val="Hyperlink"/>
          </w:rPr>
          <w:t xml:space="preserve">Cuba export controls</w:t>
        </w:r>
      </w:hyperlink>
      <w:r>
        <w:t xml:space="preserve"> and </w:t>
      </w:r>
      <w:hyperlink r:id="rId5" w:history="1">
        <w:r>
          <w:rPr>
            <w:rStyle w:val="Hyperlink"/>
          </w:rPr>
          <w:t xml:space="preserve">Cuba FAQs</w:t>
        </w:r>
      </w:hyperlink>
    </w:p>
    <w:p>
      <w:pPr>
        <w:pStyle w:val="ListParagraph"/>
        <w:numPr>
          <w:ilvl w:val="0"/>
          <w:numId w:val="24"/>
        </w:numPr>
      </w:pPr>
      <w:r>
        <w:t xml:space="preserve">Federal Register, </w:t>
      </w:r>
      <w:hyperlink r:id="rId13" w:history="1">
        <w:r>
          <w:rPr>
            <w:rStyle w:val="Hyperlink"/>
          </w:rPr>
          <w:t xml:space="preserve">OFAC 10-year recordkeeping final rule</w:t>
        </w:r>
      </w:hyperlink>
      <w:r>
        <w:t xml:space="preserve"> (21 Mar 2025)</w:t>
      </w:r>
    </w:p>
    <w:p>
      <w:pPr>
        <w:pStyle w:val="ListParagraph"/>
        <w:numPr>
          <w:ilvl w:val="0"/>
          <w:numId w:val="24"/>
        </w:numPr>
      </w:pPr>
      <w:r>
        <w:t xml:space="preserve">Arnold &amp; Porter, </w:t>
      </w:r>
      <w:hyperlink r:id="rId28" w:history="1">
        <w:r>
          <w:rPr>
            <w:rStyle w:val="Hyperlink"/>
          </w:rPr>
          <w:t xml:space="preserve">U.S. Expands Cuba Sanctions</w:t>
        </w:r>
      </w:hyperlink>
      <w:r>
        <w:t xml:space="preserve"> (Jun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fac.treasury.gov/media/16331/download" TargetMode="External"/><Relationship Id="rId4" Type="http://schemas.openxmlformats.org/officeDocument/2006/relationships/hyperlink" Target="https://www.law.cornell.edu/cfr/text/15/740.18" TargetMode="External"/><Relationship Id="rId5" Type="http://schemas.openxmlformats.org/officeDocument/2006/relationships/hyperlink" Target="https://www.bis.gov/media/documents/cuba-frequently-asked-questions" TargetMode="External"/><Relationship Id="rId6" Type="http://schemas.openxmlformats.org/officeDocument/2006/relationships/hyperlink" Target="https://www.law.cornell.edu/cfr/text/31/515.533" TargetMode="External"/><Relationship Id="rId7" Type="http://schemas.openxmlformats.org/officeDocument/2006/relationships/hyperlink" Target="https://ofac.treasury.gov/faqs/1253" TargetMode="External"/><Relationship Id="rId8" Type="http://schemas.openxmlformats.org/officeDocument/2006/relationships/hyperlink" Target="https://www.law.cornell.edu/cfr/text/31/part-515" TargetMode="External"/><Relationship Id="rId9" Type="http://schemas.openxmlformats.org/officeDocument/2006/relationships/hyperlink" Target="https://www.law.cornell.edu/cfr/text/31/515.209" TargetMode="External"/><Relationship Id="rId10" Type="http://schemas.openxmlformats.org/officeDocument/2006/relationships/hyperlink" Target="https://ofac.treasury.gov/faqs/1251" TargetMode="External"/><Relationship Id="rId11" Type="http://schemas.openxmlformats.org/officeDocument/2006/relationships/hyperlink" Target="https://ofac.treasury.gov/faqs/added/2026-05-07" TargetMode="External"/><Relationship Id="rId12" Type="http://schemas.openxmlformats.org/officeDocument/2006/relationships/hyperlink" Target="https://ofac.treasury.gov/faqs/1258" TargetMode="External"/><Relationship Id="rId13" Type="http://schemas.openxmlformats.org/officeDocument/2006/relationships/hyperlink" Target="https://www.federalregister.gov/documents/2025/03/21/2025-04864/reporting-procedures-and-penalties-regulations" TargetMode="External"/><Relationship Id="rId14" Type="http://schemas.openxmlformats.org/officeDocument/2006/relationships/hyperlink" Target="https://ofac.treasury.gov/recent-actions/20260723" TargetMode="External"/><Relationship Id="rId15" Type="http://schemas.openxmlformats.org/officeDocument/2006/relationships/hyperlink" Target="https://ofac.treasury.gov/recent-actions/20260903" TargetMode="External"/><Relationship Id="rId16" Type="http://schemas.openxmlformats.org/officeDocument/2006/relationships/hyperlink" Target="https://ofac.treasury.gov/faqs/1265" TargetMode="External"/><Relationship Id="rId17" Type="http://schemas.openxmlformats.org/officeDocument/2006/relationships/hyperlink" Target="https://www.bis.gov/articles/cuba-export-controls" TargetMode="External"/><Relationship Id="rId18" Type="http://schemas.openxmlformats.org/officeDocument/2006/relationships/hyperlink" Target="https://ofac.treasury.gov/faqs/1264" TargetMode="External"/><Relationship Id="rId19" Type="http://schemas.openxmlformats.org/officeDocument/2006/relationships/hyperlink" Target="https://sanctionssearch.ofac.treas.gov/" TargetMode="External"/><Relationship Id="rId20" Type="http://schemas.openxmlformats.org/officeDocument/2006/relationships/hyperlink" Target="https://www.trade.gov/consolidated-screening-list" TargetMode="External"/><Relationship Id="rId21" Type="http://schemas.openxmlformats.org/officeDocument/2006/relationships/image" Target="media/image1.png"/><Relationship Id="rId22" Type="http://schemas.openxmlformats.org/officeDocument/2006/relationships/hyperlink" Target="https://www.law.cornell.edu/cfr/text/31/501.603" TargetMode="External"/><Relationship Id="rId23" Type="http://schemas.openxmlformats.org/officeDocument/2006/relationships/hyperlink" Target="https://ofac.treasury.gov/ofac-reporting-system" TargetMode="External"/><Relationship Id="rId24" Type="http://schemas.openxmlformats.org/officeDocument/2006/relationships/hyperlink" Target="https://www.law.cornell.edu/cfr/text/31/501.604" TargetMode="External"/><Relationship Id="rId25" Type="http://schemas.openxmlformats.org/officeDocument/2006/relationships/hyperlink" Target="https://ofac.treasury.gov/sanctions-programs-and-country-information/cuba-sanctions" TargetMode="External"/><Relationship Id="rId26" Type="http://schemas.openxmlformats.org/officeDocument/2006/relationships/hyperlink" Target="https://ofac.treasury.gov/faqs" TargetMode="External"/><Relationship Id="rId27" Type="http://schemas.openxmlformats.org/officeDocument/2006/relationships/hyperlink" Target="https://www.law.cornell.edu/cfr/text/31/501.601" TargetMode="External"/><Relationship Id="rId28" Type="http://schemas.openxmlformats.org/officeDocument/2006/relationships/hyperlink" Target="https://www.arnoldporter.com/en/perspectives/advisories/2026/06/us-expands-cuba-sanction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Vivara Provisions LLC — Written OFAC Sanctions Compliance Program</dc:title>
  <dc:description>Claude Docs node/99abe1f6-cef7@17 docx-w6</dc:description>
  <cp:revision>17</cp:revision>
</cp:coreProperties>
</file>