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53B547">
      <w:pPr>
        <w:ind w:firstLine="176" w:firstLineChars="21"/>
        <w:rPr>
          <w:rFonts w:eastAsia="方正大黑简体"/>
          <w:w w:val="70"/>
          <w:sz w:val="120"/>
          <w:szCs w:val="120"/>
        </w:rPr>
      </w:pPr>
      <w:r>
        <w:rPr>
          <w:rFonts w:eastAsia="方正大黑简体"/>
          <w:w w:val="70"/>
          <w:sz w:val="120"/>
          <w:szCs w:val="120"/>
        </w:rPr>
        <w:t xml:space="preserve">  </w:t>
      </w:r>
      <w:r>
        <w:rPr>
          <w:rFonts w:eastAsia="方正大黑简体"/>
          <w:w w:val="70"/>
          <w:sz w:val="120"/>
          <w:szCs w:val="120"/>
        </w:rPr>
        <w:drawing>
          <wp:inline distT="0" distB="0" distL="114300" distR="114300">
            <wp:extent cx="4280535" cy="1908810"/>
            <wp:effectExtent l="0" t="0" r="5715" b="15240"/>
            <wp:docPr id="1" name="图片 2"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cover"/>
                    <pic:cNvPicPr>
                      <a:picLocks noChangeAspect="1"/>
                    </pic:cNvPicPr>
                  </pic:nvPicPr>
                  <pic:blipFill>
                    <a:blip r:embed="rId14"/>
                    <a:stretch>
                      <a:fillRect/>
                    </a:stretch>
                  </pic:blipFill>
                  <pic:spPr>
                    <a:xfrm>
                      <a:off x="0" y="0"/>
                      <a:ext cx="4280535" cy="1908810"/>
                    </a:xfrm>
                    <a:prstGeom prst="rect">
                      <a:avLst/>
                    </a:prstGeom>
                    <a:noFill/>
                    <a:ln>
                      <a:noFill/>
                    </a:ln>
                  </pic:spPr>
                </pic:pic>
              </a:graphicData>
            </a:graphic>
          </wp:inline>
        </w:drawing>
      </w:r>
    </w:p>
    <w:p w14:paraId="0B5E2742">
      <w:pPr>
        <w:ind w:firstLine="353" w:firstLineChars="44"/>
        <w:jc w:val="center"/>
        <w:rPr>
          <w:rFonts w:hint="eastAsia" w:ascii="方正大黑简体" w:hAnsi="方正大黑简体" w:eastAsia="方正大黑简体" w:cs="方正大黑简体"/>
          <w:spacing w:val="-20"/>
          <w:w w:val="68"/>
          <w:sz w:val="124"/>
          <w:szCs w:val="124"/>
        </w:rPr>
      </w:pPr>
      <w:r>
        <w:rPr>
          <w:rFonts w:hint="eastAsia" w:ascii="方正大黑简体" w:hAnsi="方正大黑简体" w:eastAsia="方正大黑简体" w:cs="方正大黑简体"/>
          <w:spacing w:val="-20"/>
          <w:w w:val="68"/>
          <w:sz w:val="124"/>
          <w:szCs w:val="124"/>
        </w:rPr>
        <w:t>毕 业 论 文</w:t>
      </w:r>
    </w:p>
    <w:p w14:paraId="3614C6E0">
      <w:pPr>
        <w:spacing w:line="360" w:lineRule="auto"/>
        <w:rPr>
          <w:b/>
          <w:sz w:val="36"/>
          <w:szCs w:val="36"/>
        </w:rPr>
      </w:pPr>
      <w:r>
        <w:rPr>
          <w:rFonts w:hint="eastAsia" w:ascii="黑体" w:hAnsi="黑体" w:eastAsia="黑体" w:cs="黑体"/>
          <w:b/>
          <w:sz w:val="36"/>
          <w:szCs w:val="36"/>
          <w:lang w:val="en-US" w:eastAsia="zh-CN"/>
        </w:rPr>
        <w:t>论文</w:t>
      </w:r>
      <w:r>
        <w:rPr>
          <w:rFonts w:hint="eastAsia" w:ascii="黑体" w:hAnsi="黑体" w:eastAsia="黑体" w:cs="黑体"/>
          <w:b/>
          <w:sz w:val="36"/>
          <w:szCs w:val="36"/>
        </w:rPr>
        <w:t>题目：基于自蒸馏的皮肤镜图像视觉表示学习</w:t>
      </w:r>
    </w:p>
    <w:p w14:paraId="561E462E">
      <w:pPr>
        <w:ind w:firstLine="2721" w:firstLineChars="616"/>
        <w:rPr>
          <w:b/>
          <w:sz w:val="44"/>
          <w:szCs w:val="44"/>
        </w:rPr>
      </w:pPr>
    </w:p>
    <w:p w14:paraId="62774580">
      <w:pPr>
        <w:ind w:firstLine="2721" w:firstLineChars="616"/>
        <w:rPr>
          <w:b/>
          <w:sz w:val="44"/>
          <w:szCs w:val="44"/>
        </w:rPr>
      </w:pPr>
    </w:p>
    <w:p w14:paraId="14B223D5">
      <w:pPr>
        <w:ind w:firstLine="2721" w:firstLineChars="616"/>
        <w:rPr>
          <w:b/>
          <w:sz w:val="44"/>
          <w:szCs w:val="44"/>
        </w:rPr>
      </w:pPr>
    </w:p>
    <w:p w14:paraId="11155E2D">
      <w:pPr>
        <w:ind w:firstLine="1732" w:firstLineChars="616"/>
        <w:rPr>
          <w:rFonts w:eastAsia="黑体"/>
          <w:b/>
          <w:sz w:val="28"/>
          <w:szCs w:val="28"/>
          <w:u w:val="single"/>
        </w:rPr>
      </w:pPr>
      <w:r>
        <w:rPr>
          <w:rFonts w:eastAsia="黑体"/>
          <w:b/>
          <w:sz w:val="28"/>
          <w:szCs w:val="28"/>
        </w:rPr>
        <w:t>姓    名</w:t>
      </w:r>
      <w:r>
        <w:rPr>
          <w:rFonts w:eastAsia="黑体"/>
          <w:sz w:val="28"/>
          <w:szCs w:val="28"/>
          <w:u w:val="single"/>
        </w:rPr>
        <w:t xml:space="preserve">     吴祚旭          </w:t>
      </w:r>
    </w:p>
    <w:p w14:paraId="7BCA95DF">
      <w:pPr>
        <w:ind w:firstLine="1732" w:firstLineChars="616"/>
        <w:rPr>
          <w:rFonts w:eastAsia="黑体"/>
          <w:b/>
          <w:sz w:val="28"/>
          <w:szCs w:val="28"/>
          <w:u w:val="single"/>
        </w:rPr>
      </w:pPr>
      <w:r>
        <w:rPr>
          <w:rFonts w:eastAsia="黑体"/>
          <w:b/>
          <w:sz w:val="28"/>
          <w:szCs w:val="28"/>
        </w:rPr>
        <w:t>学    号</w:t>
      </w:r>
      <w:r>
        <w:rPr>
          <w:rFonts w:eastAsia="黑体"/>
          <w:sz w:val="28"/>
          <w:szCs w:val="28"/>
          <w:u w:val="single"/>
        </w:rPr>
        <w:t xml:space="preserve">   202200172019      </w:t>
      </w:r>
    </w:p>
    <w:p w14:paraId="25E48EB0">
      <w:pPr>
        <w:ind w:firstLine="1732" w:firstLineChars="616"/>
        <w:rPr>
          <w:rFonts w:eastAsia="黑体"/>
          <w:b/>
          <w:sz w:val="28"/>
          <w:szCs w:val="28"/>
          <w:u w:val="single"/>
        </w:rPr>
      </w:pPr>
      <w:r>
        <w:rPr>
          <w:rFonts w:eastAsia="黑体"/>
          <w:b/>
          <w:sz w:val="28"/>
          <w:szCs w:val="28"/>
        </w:rPr>
        <w:t>学    院</w:t>
      </w:r>
      <w:r>
        <w:rPr>
          <w:rFonts w:eastAsia="黑体"/>
          <w:sz w:val="28"/>
          <w:szCs w:val="28"/>
          <w:u w:val="single"/>
        </w:rPr>
        <w:t xml:space="preserve">   控制科学与工程学院</w:t>
      </w:r>
    </w:p>
    <w:p w14:paraId="4C42C762">
      <w:pPr>
        <w:ind w:firstLine="1732" w:firstLineChars="616"/>
        <w:rPr>
          <w:rFonts w:eastAsia="黑体"/>
          <w:b/>
          <w:sz w:val="28"/>
          <w:szCs w:val="28"/>
          <w:u w:val="single"/>
        </w:rPr>
      </w:pPr>
      <w:r>
        <w:rPr>
          <w:rFonts w:eastAsia="黑体"/>
          <w:b/>
          <w:sz w:val="28"/>
          <w:szCs w:val="28"/>
        </w:rPr>
        <w:t>专    业</w:t>
      </w:r>
      <w:r>
        <w:rPr>
          <w:rFonts w:eastAsia="黑体"/>
          <w:sz w:val="28"/>
          <w:szCs w:val="28"/>
          <w:u w:val="single"/>
        </w:rPr>
        <w:t xml:space="preserve">   智能医学工程      </w:t>
      </w:r>
    </w:p>
    <w:p w14:paraId="38E7E573">
      <w:pPr>
        <w:ind w:firstLine="1732" w:firstLineChars="616"/>
        <w:rPr>
          <w:rFonts w:eastAsia="黑体"/>
          <w:b/>
          <w:sz w:val="28"/>
          <w:szCs w:val="28"/>
          <w:u w:val="single"/>
        </w:rPr>
      </w:pPr>
      <w:r>
        <w:rPr>
          <w:rFonts w:eastAsia="黑体"/>
          <w:b/>
          <w:sz w:val="28"/>
          <w:szCs w:val="28"/>
        </w:rPr>
        <w:t>年    级</w:t>
      </w:r>
      <w:r>
        <w:rPr>
          <w:rFonts w:eastAsia="黑体"/>
          <w:sz w:val="28"/>
          <w:szCs w:val="28"/>
          <w:u w:val="single"/>
        </w:rPr>
        <w:t xml:space="preserve">     2022级          </w:t>
      </w:r>
    </w:p>
    <w:p w14:paraId="335A475E">
      <w:pPr>
        <w:ind w:firstLine="1732" w:firstLineChars="616"/>
        <w:rPr>
          <w:rFonts w:eastAsia="方正楷体_GB2312"/>
          <w:b/>
          <w:sz w:val="32"/>
          <w:szCs w:val="32"/>
          <w:u w:val="single"/>
        </w:rPr>
      </w:pPr>
      <w:r>
        <w:rPr>
          <w:rFonts w:eastAsia="黑体"/>
          <w:b/>
          <w:sz w:val="28"/>
          <w:szCs w:val="28"/>
        </w:rPr>
        <w:t>指导教师</w:t>
      </w:r>
      <w:r>
        <w:rPr>
          <w:rFonts w:eastAsia="黑体"/>
          <w:sz w:val="28"/>
          <w:szCs w:val="28"/>
          <w:u w:val="single"/>
        </w:rPr>
        <w:t xml:space="preserve">     田广野           </w:t>
      </w:r>
    </w:p>
    <w:p w14:paraId="2970ABC7">
      <w:pPr>
        <w:rPr>
          <w:rFonts w:eastAsia="黑体"/>
          <w:b/>
          <w:w w:val="66"/>
          <w:sz w:val="30"/>
          <w:szCs w:val="30"/>
        </w:rPr>
      </w:pPr>
    </w:p>
    <w:p w14:paraId="627AC7D5">
      <w:pPr>
        <w:jc w:val="center"/>
        <w:rPr>
          <w:rFonts w:eastAsia="黑体"/>
          <w:b/>
          <w:sz w:val="32"/>
          <w:szCs w:val="32"/>
        </w:rPr>
      </w:pPr>
      <w:r>
        <w:rPr>
          <w:rFonts w:eastAsia="方正楷体_GB2312"/>
          <w:b/>
          <w:sz w:val="30"/>
          <w:szCs w:val="30"/>
        </w:rPr>
        <w:t xml:space="preserve">  </w:t>
      </w:r>
      <w:r>
        <w:rPr>
          <w:rFonts w:eastAsia="黑体"/>
          <w:b/>
          <w:sz w:val="30"/>
          <w:szCs w:val="30"/>
        </w:rPr>
        <w:t xml:space="preserve">2026 </w:t>
      </w:r>
      <w:r>
        <w:rPr>
          <w:rFonts w:eastAsia="黑体"/>
          <w:b/>
          <w:sz w:val="32"/>
          <w:szCs w:val="32"/>
        </w:rPr>
        <w:t>年 4 月 30 日</w:t>
      </w:r>
    </w:p>
    <w:p w14:paraId="1B512EB7">
      <w:pPr>
        <w:jc w:val="center"/>
        <w:rPr>
          <w:rFonts w:eastAsia="黑体"/>
          <w:b/>
          <w:sz w:val="32"/>
          <w:szCs w:val="32"/>
        </w:rPr>
        <w:sectPr>
          <w:headerReference r:id="rId3" w:type="default"/>
          <w:footerReference r:id="rId4" w:type="default"/>
          <w:pgSz w:w="11906" w:h="16838"/>
          <w:pgMar w:top="1418" w:right="1701" w:bottom="1417" w:left="1701" w:header="851" w:footer="992" w:gutter="0"/>
          <w:cols w:space="720" w:num="1"/>
          <w:titlePg/>
          <w:docGrid w:type="lines" w:linePitch="312" w:charSpace="0"/>
        </w:sectPr>
      </w:pPr>
    </w:p>
    <w:p w14:paraId="46690324">
      <w:pPr>
        <w:jc w:val="center"/>
        <w:rPr>
          <w:rFonts w:eastAsia="黑体"/>
          <w:b/>
          <w:sz w:val="32"/>
          <w:szCs w:val="32"/>
        </w:rPr>
        <w:sectPr>
          <w:headerReference r:id="rId6" w:type="first"/>
          <w:headerReference r:id="rId5" w:type="default"/>
          <w:pgSz w:w="11906" w:h="16838"/>
          <w:pgMar w:top="1418" w:right="1701" w:bottom="1417" w:left="1701" w:header="851" w:footer="992" w:gutter="0"/>
          <w:pgNumType w:start="1"/>
          <w:cols w:space="720" w:num="1"/>
          <w:titlePg/>
          <w:docGrid w:type="lines" w:linePitch="312" w:charSpace="0"/>
        </w:sectPr>
      </w:pPr>
    </w:p>
    <w:p w14:paraId="1479F162">
      <w:pPr>
        <w:jc w:val="center"/>
        <w:outlineLvl w:val="9"/>
        <w:rPr>
          <w:rFonts w:eastAsia="黑体"/>
          <w:b/>
          <w:sz w:val="36"/>
          <w:szCs w:val="36"/>
        </w:rPr>
      </w:pPr>
      <w:bookmarkStart w:id="0" w:name="_Toc20115"/>
      <w:bookmarkStart w:id="1" w:name="_Toc1400"/>
      <w:bookmarkStart w:id="2" w:name="_Toc14574"/>
      <w:r>
        <w:rPr>
          <w:rFonts w:eastAsia="黑体"/>
          <w:b/>
          <w:sz w:val="36"/>
          <w:szCs w:val="36"/>
        </w:rPr>
        <w:t>摘</w:t>
      </w:r>
      <w:r>
        <w:rPr>
          <w:rFonts w:hint="eastAsia" w:eastAsia="黑体"/>
          <w:b/>
          <w:sz w:val="36"/>
          <w:szCs w:val="36"/>
          <w:lang w:val="en-US" w:eastAsia="zh-CN"/>
        </w:rPr>
        <w:t xml:space="preserve">    </w:t>
      </w:r>
      <w:r>
        <w:rPr>
          <w:rFonts w:eastAsia="黑体"/>
          <w:b/>
          <w:sz w:val="36"/>
          <w:szCs w:val="36"/>
        </w:rPr>
        <w:t>要</w:t>
      </w:r>
      <w:bookmarkEnd w:id="0"/>
      <w:bookmarkEnd w:id="1"/>
      <w:bookmarkEnd w:id="2"/>
    </w:p>
    <w:p w14:paraId="6FE9CF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Cs/>
          <w:sz w:val="24"/>
        </w:rPr>
      </w:pPr>
      <w:r>
        <w:rPr>
          <w:rFonts w:hint="default" w:ascii="Times New Roman" w:hAnsi="Times New Roman" w:eastAsia="宋体" w:cs="Times New Roman"/>
          <w:bCs/>
          <w:sz w:val="24"/>
        </w:rPr>
        <w:t>针对皮肤镜图像中病灶边界模糊、背景干扰复杂以及医学影像标注数据稀缺等问题，本文提出了一种融合自监督表征学习与 Mask2Former 分割框架的精细化皮肤病分割方法。该方法以领域自监督预训练模型作为特征提取底座，通过在大规模未标注皮肤镜数据集上进行自蒸馏训练，学习具有强判别性的视觉表征，从而降低模型对人工标注数据的依赖。</w:t>
      </w:r>
    </w:p>
    <w:p w14:paraId="07F577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Cs/>
          <w:sz w:val="24"/>
        </w:rPr>
      </w:pPr>
      <w:r>
        <w:rPr>
          <w:rFonts w:hint="default" w:ascii="Times New Roman" w:hAnsi="Times New Roman" w:eastAsia="宋体" w:cs="Times New Roman"/>
          <w:bCs/>
          <w:sz w:val="24"/>
        </w:rPr>
        <w:t>在模型设计上，本文采用Vision Transformer作为主干网络和DINOv3自监督学习框架，引入稠密对比正则化机制，增强模型对病灶局部结构与边缘细节的感知能力。在此基础上，结合 Mask2Former 掩码驱动分割架构，通过掩码查询机制与多尺度特征融合，实现对复杂病灶区域的结构化建模与精细化边界预测。同时，本文构建了由Dice 损失与二值交叉熵损失组成的联合优化目标，采用“自监督预训练+下游冻结微调”的两阶段训练策略，以提升模型训练稳定性与泛化性能。</w:t>
      </w:r>
    </w:p>
    <w:p w14:paraId="621369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Cs/>
          <w:sz w:val="24"/>
        </w:rPr>
      </w:pPr>
      <w:r>
        <w:rPr>
          <w:rFonts w:hint="default" w:ascii="Times New Roman" w:hAnsi="Times New Roman" w:eastAsia="宋体" w:cs="Times New Roman"/>
          <w:bCs/>
          <w:sz w:val="24"/>
        </w:rPr>
        <w:t>实验部分基于 HAM10000 公开皮肤镜数据集开展验证，并采用 Dice、IoU、Precision 与 Recall 等指标对模型性能进行评估。结果表明，本文方法在 Dice 系数与 IoU 指标上均优于对比方法。其中，在 HAM10000 数据集上，模型取得了 0.859 的 Dice 系数和 0.753 的 IoU，表现出较强的病灶区域定位能力与边缘刻画能力。消融实验进一步验证了自监督预训练与 Mask2Former 解码结构对模型性能提升的有效性。</w:t>
      </w:r>
    </w:p>
    <w:p w14:paraId="0DC254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Cs/>
          <w:sz w:val="24"/>
        </w:rPr>
      </w:pPr>
      <w:r>
        <w:rPr>
          <w:rFonts w:hint="default" w:ascii="Times New Roman" w:hAnsi="Times New Roman" w:eastAsia="宋体" w:cs="Times New Roman"/>
          <w:bCs/>
          <w:sz w:val="24"/>
        </w:rPr>
        <w:t>综上所述，本文提出的方法能够在有限标注条件下实现高精度皮肤病灶分割，为自监督学习在医学图像精细化分割中的应用提供了一种有效思路，并具备一定的临床辅助诊断潜力。</w:t>
      </w:r>
    </w:p>
    <w:p w14:paraId="655C68A7">
      <w:pPr>
        <w:spacing w:line="360" w:lineRule="auto"/>
        <w:rPr>
          <w:rFonts w:eastAsiaTheme="minorEastAsia"/>
          <w:bCs/>
          <w:sz w:val="24"/>
        </w:rPr>
      </w:pPr>
    </w:p>
    <w:p w14:paraId="7324CC44">
      <w:pPr>
        <w:spacing w:line="360" w:lineRule="auto"/>
        <w:rPr>
          <w:rFonts w:hint="default" w:eastAsiaTheme="minorEastAsia"/>
          <w:bCs/>
          <w:sz w:val="24"/>
          <w:lang w:val="en-US" w:eastAsia="zh-CN"/>
        </w:rPr>
      </w:pPr>
      <w:r>
        <w:rPr>
          <w:rFonts w:hint="eastAsia" w:ascii="黑体" w:hAnsi="黑体" w:eastAsia="黑体" w:cs="黑体"/>
          <w:b/>
          <w:sz w:val="24"/>
        </w:rPr>
        <w:t>关键词：</w:t>
      </w:r>
      <w:r>
        <w:rPr>
          <w:rFonts w:eastAsiaTheme="minorEastAsia"/>
          <w:bCs/>
          <w:sz w:val="24"/>
        </w:rPr>
        <w:t>医</w:t>
      </w:r>
      <w:r>
        <w:rPr>
          <w:rFonts w:hint="eastAsia" w:eastAsiaTheme="minorEastAsia"/>
          <w:bCs/>
          <w:sz w:val="24"/>
        </w:rPr>
        <w:t>学影像</w:t>
      </w:r>
      <w:r>
        <w:rPr>
          <w:rFonts w:eastAsiaTheme="minorEastAsia"/>
          <w:bCs/>
          <w:sz w:val="24"/>
        </w:rPr>
        <w:t>分析</w:t>
      </w:r>
      <w:r>
        <w:rPr>
          <w:rFonts w:hint="eastAsia" w:eastAsiaTheme="minorEastAsia"/>
          <w:bCs/>
          <w:sz w:val="24"/>
          <w:lang w:eastAsia="zh-CN"/>
        </w:rPr>
        <w:t>；</w:t>
      </w:r>
      <w:r>
        <w:rPr>
          <w:rFonts w:eastAsiaTheme="minorEastAsia"/>
          <w:bCs/>
          <w:sz w:val="24"/>
        </w:rPr>
        <w:t>皮肤镜图像</w:t>
      </w:r>
      <w:r>
        <w:rPr>
          <w:rFonts w:hint="eastAsia" w:eastAsiaTheme="minorEastAsia"/>
          <w:bCs/>
          <w:sz w:val="24"/>
          <w:lang w:eastAsia="zh-CN"/>
        </w:rPr>
        <w:t>；</w:t>
      </w:r>
      <w:r>
        <w:rPr>
          <w:rFonts w:eastAsiaTheme="minorEastAsia"/>
          <w:bCs/>
          <w:sz w:val="24"/>
        </w:rPr>
        <w:t>自监督学习</w:t>
      </w:r>
      <w:r>
        <w:rPr>
          <w:rFonts w:hint="eastAsia" w:eastAsiaTheme="minorEastAsia"/>
          <w:bCs/>
          <w:sz w:val="24"/>
          <w:lang w:eastAsia="zh-CN"/>
        </w:rPr>
        <w:t>；</w:t>
      </w:r>
      <w:r>
        <w:rPr>
          <w:rFonts w:hint="eastAsia" w:eastAsiaTheme="minorEastAsia"/>
          <w:bCs/>
          <w:sz w:val="24"/>
          <w:lang w:val="en-US" w:eastAsia="zh-CN"/>
        </w:rPr>
        <w:t>自蒸馏</w:t>
      </w:r>
    </w:p>
    <w:p w14:paraId="65BD3F31">
      <w:pPr>
        <w:jc w:val="center"/>
        <w:rPr>
          <w:rFonts w:eastAsia="黑体"/>
          <w:b/>
          <w:sz w:val="32"/>
          <w:szCs w:val="32"/>
        </w:rPr>
      </w:pPr>
    </w:p>
    <w:p w14:paraId="282E299F">
      <w:pPr>
        <w:jc w:val="center"/>
        <w:rPr>
          <w:rFonts w:eastAsia="黑体"/>
          <w:b/>
          <w:sz w:val="32"/>
          <w:szCs w:val="32"/>
        </w:rPr>
      </w:pPr>
    </w:p>
    <w:p w14:paraId="0DFF850B">
      <w:pPr>
        <w:jc w:val="center"/>
        <w:rPr>
          <w:rFonts w:eastAsia="黑体"/>
          <w:b/>
          <w:sz w:val="32"/>
          <w:szCs w:val="32"/>
        </w:rPr>
      </w:pPr>
    </w:p>
    <w:p w14:paraId="1E9FA707">
      <w:pPr>
        <w:jc w:val="center"/>
        <w:rPr>
          <w:rFonts w:eastAsia="黑体"/>
          <w:b/>
          <w:sz w:val="32"/>
          <w:szCs w:val="32"/>
        </w:rPr>
      </w:pPr>
    </w:p>
    <w:p w14:paraId="6DD77B93">
      <w:pPr>
        <w:jc w:val="center"/>
        <w:rPr>
          <w:rFonts w:eastAsia="黑体"/>
          <w:b/>
          <w:sz w:val="32"/>
          <w:szCs w:val="32"/>
        </w:rPr>
      </w:pPr>
    </w:p>
    <w:p w14:paraId="427EAEB6">
      <w:pPr>
        <w:rPr>
          <w:rFonts w:eastAsia="黑体"/>
          <w:b/>
          <w:sz w:val="32"/>
          <w:szCs w:val="32"/>
        </w:rPr>
        <w:sectPr>
          <w:pgSz w:w="11906" w:h="16838"/>
          <w:pgMar w:top="1418" w:right="1701" w:bottom="1417" w:left="1701" w:header="851" w:footer="992" w:gutter="0"/>
          <w:pgNumType w:start="1"/>
          <w:cols w:space="720" w:num="1"/>
          <w:titlePg/>
          <w:docGrid w:type="lines" w:linePitch="312" w:charSpace="0"/>
        </w:sectPr>
      </w:pPr>
    </w:p>
    <w:p w14:paraId="11015775">
      <w:pPr>
        <w:jc w:val="center"/>
        <w:outlineLvl w:val="9"/>
        <w:rPr>
          <w:rFonts w:eastAsia="黑体"/>
          <w:b/>
          <w:sz w:val="32"/>
          <w:szCs w:val="32"/>
        </w:rPr>
      </w:pPr>
      <w:bookmarkStart w:id="3" w:name="_Toc16593"/>
      <w:bookmarkStart w:id="4" w:name="_Toc31860"/>
      <w:bookmarkStart w:id="5" w:name="_Toc22597"/>
      <w:r>
        <w:rPr>
          <w:rFonts w:eastAsia="黑体"/>
          <w:b/>
          <w:sz w:val="36"/>
          <w:szCs w:val="36"/>
        </w:rPr>
        <w:t>ABSTRACT</w:t>
      </w:r>
      <w:bookmarkEnd w:id="3"/>
      <w:bookmarkEnd w:id="4"/>
      <w:bookmarkEnd w:id="5"/>
    </w:p>
    <w:p w14:paraId="34A2310D">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eastAsia="黑体"/>
          <w:bCs/>
          <w:sz w:val="24"/>
        </w:rPr>
      </w:pPr>
      <w:r>
        <w:rPr>
          <w:rFonts w:eastAsia="黑体"/>
          <w:bCs/>
          <w:sz w:val="24"/>
        </w:rPr>
        <w:t>To address the challenges of blurred lesion boundaries, complex background interference, and limited annotated medical data in dermoscopic image segmentation, this paper proposes a fine-grained skin lesion segmentation method that integrates self-supervised representation learning with the Mask2Former segmentation framework. The proposed method employs a domain-specific self-supervised pretrained model as the feature extraction backbone and learns highly discriminative visual representations through self-distillation training on large-scale unlabeled dermoscopic datasets, thereby reducing the dependence on manually annotated data.</w:t>
      </w:r>
    </w:p>
    <w:p w14:paraId="41B4C1F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eastAsia="黑体"/>
          <w:bCs/>
          <w:sz w:val="24"/>
        </w:rPr>
      </w:pPr>
      <w:r>
        <w:rPr>
          <w:rFonts w:eastAsia="黑体"/>
          <w:bCs/>
          <w:sz w:val="24"/>
        </w:rPr>
        <w:t xml:space="preserve">In terms of model design, this paper adopts Vision Transformer as the backbone network and DINOv3 self-supervised learning framework, and introduces a dense contrast regularization mechanism to enhance the model's perception ability of the local structure and edge details of the lesion. Based on this, combined with the Mask2Former mask-driven segmentation architecture, through the mask query mechanism and multi-scale feature fusion, structured modeling and refined boundary prediction of complex lesion regions are achieved. Meanwhile, </w:t>
      </w:r>
      <w:r>
        <w:rPr>
          <w:rFonts w:hint="eastAsia" w:eastAsia="黑体"/>
          <w:bCs/>
          <w:sz w:val="24"/>
          <w:lang w:val="en-US" w:eastAsia="zh-CN"/>
        </w:rPr>
        <w:t>we</w:t>
      </w:r>
      <w:r>
        <w:rPr>
          <w:rFonts w:eastAsia="黑体"/>
          <w:bCs/>
          <w:sz w:val="24"/>
        </w:rPr>
        <w:t xml:space="preserve"> </w:t>
      </w:r>
      <w:r>
        <w:rPr>
          <w:rFonts w:hint="eastAsia" w:eastAsia="黑体"/>
          <w:bCs/>
          <w:sz w:val="24"/>
          <w:lang w:eastAsia="zh-CN"/>
        </w:rPr>
        <w:t>construct</w:t>
      </w:r>
      <w:r>
        <w:rPr>
          <w:rFonts w:eastAsia="黑体"/>
          <w:bCs/>
          <w:sz w:val="24"/>
        </w:rPr>
        <w:t xml:space="preserve"> a joint optimization objective composed of Dice loss and binary cross-entropy loss, and </w:t>
      </w:r>
      <w:r>
        <w:rPr>
          <w:rFonts w:hint="eastAsia" w:eastAsia="黑体"/>
          <w:bCs/>
          <w:sz w:val="24"/>
          <w:lang w:eastAsia="zh-CN"/>
        </w:rPr>
        <w:t>adopt</w:t>
      </w:r>
      <w:r>
        <w:rPr>
          <w:rFonts w:eastAsia="黑体"/>
          <w:bCs/>
          <w:sz w:val="24"/>
        </w:rPr>
        <w:t xml:space="preserve"> a two-stage training strategy of self-supervised pre-training </w:t>
      </w:r>
      <w:r>
        <w:rPr>
          <w:rFonts w:hint="eastAsia" w:eastAsia="黑体"/>
          <w:bCs/>
          <w:sz w:val="24"/>
          <w:lang w:val="en-US" w:eastAsia="zh-CN"/>
        </w:rPr>
        <w:t>and</w:t>
      </w:r>
      <w:r>
        <w:rPr>
          <w:rFonts w:eastAsia="黑体"/>
          <w:bCs/>
          <w:sz w:val="24"/>
        </w:rPr>
        <w:t xml:space="preserve"> downstream frozen fine-tuning to enhance the training stability and generalization performance of the model.</w:t>
      </w:r>
    </w:p>
    <w:p w14:paraId="6FFFD076">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eastAsia="黑体"/>
          <w:bCs/>
          <w:sz w:val="24"/>
        </w:rPr>
      </w:pPr>
      <w:r>
        <w:rPr>
          <w:rFonts w:eastAsia="黑体"/>
          <w:bCs/>
          <w:sz w:val="24"/>
        </w:rPr>
        <w:t xml:space="preserve">Experiments are conducted on public dermoscopic datasets HAM10000, </w:t>
      </w:r>
      <w:r>
        <w:rPr>
          <w:rFonts w:hint="eastAsia" w:eastAsia="黑体"/>
          <w:bCs/>
          <w:sz w:val="24"/>
          <w:lang w:eastAsia="zh-CN"/>
        </w:rPr>
        <w:t>and the performance</w:t>
      </w:r>
      <w:r>
        <w:rPr>
          <w:rFonts w:eastAsia="黑体"/>
          <w:bCs/>
          <w:sz w:val="24"/>
        </w:rPr>
        <w:t xml:space="preserve"> of the proposed method is evaluated using Dice, IoU, Precision, and Recall metrics. </w:t>
      </w:r>
      <w:r>
        <w:rPr>
          <w:rFonts w:hint="eastAsia" w:eastAsia="黑体"/>
          <w:bCs/>
          <w:sz w:val="24"/>
          <w:lang w:val="en-US" w:eastAsia="zh-CN"/>
        </w:rPr>
        <w:t>R</w:t>
      </w:r>
      <w:r>
        <w:rPr>
          <w:rFonts w:eastAsia="黑体"/>
          <w:bCs/>
          <w:sz w:val="24"/>
        </w:rPr>
        <w:t>esults demonstrate that the proposed method outperforms comparative approaches in both Dice coefficient and IoU metrics. Specifically, the model achieves a Dice score of 0.859 and an IoU of 0.753 on the HAM10000 dataset, showing strong capability in lesion localization and boundary delineation. In addition, ablation studies further verify the effectiveness of self-supervised pretraining and the Mask2Former decoder structure in improving segmentation performance.</w:t>
      </w:r>
    </w:p>
    <w:p w14:paraId="6FDE09C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eastAsia="黑体"/>
          <w:bCs/>
          <w:sz w:val="24"/>
        </w:rPr>
      </w:pPr>
      <w:r>
        <w:rPr>
          <w:rFonts w:eastAsia="黑体"/>
          <w:bCs/>
          <w:sz w:val="24"/>
        </w:rPr>
        <w:t>In conclusion, the proposed method achieves high-precision skin lesion segmentatio</w:t>
      </w:r>
      <w:r>
        <w:rPr>
          <w:rFonts w:hint="eastAsia" w:eastAsia="黑体"/>
          <w:bCs/>
          <w:sz w:val="24"/>
          <w:lang w:val="en-US" w:eastAsia="zh-CN"/>
        </w:rPr>
        <w:t xml:space="preserve">n </w:t>
      </w:r>
      <w:r>
        <w:rPr>
          <w:rFonts w:eastAsia="黑体"/>
          <w:bCs/>
          <w:sz w:val="24"/>
        </w:rPr>
        <w:t>under limited annotation conditions, providing an effective solution for applying self-supervised learning</w:t>
      </w:r>
      <w:r>
        <w:rPr>
          <w:rFonts w:hint="eastAsia" w:eastAsia="黑体"/>
          <w:bCs/>
          <w:sz w:val="24"/>
          <w:lang w:val="en-US" w:eastAsia="zh-CN"/>
        </w:rPr>
        <w:t xml:space="preserve"> </w:t>
      </w:r>
      <w:r>
        <w:rPr>
          <w:rFonts w:eastAsia="黑体"/>
          <w:bCs/>
          <w:sz w:val="24"/>
        </w:rPr>
        <w:t>to fine-grained medical image segmentation and demonstrating promising potential for clinical-assisted diagnosis.</w:t>
      </w:r>
    </w:p>
    <w:p w14:paraId="275FD0AE">
      <w:pPr>
        <w:spacing w:line="360" w:lineRule="auto"/>
        <w:ind w:firstLine="420" w:firstLineChars="0"/>
        <w:rPr>
          <w:rFonts w:eastAsia="黑体"/>
          <w:bCs/>
          <w:sz w:val="24"/>
        </w:rPr>
      </w:pPr>
    </w:p>
    <w:p w14:paraId="278A44E8">
      <w:pPr>
        <w:spacing w:line="360" w:lineRule="auto"/>
        <w:rPr>
          <w:rFonts w:hint="eastAsia" w:eastAsia="黑体"/>
          <w:bCs/>
          <w:sz w:val="24"/>
          <w:lang w:val="en-US" w:eastAsia="zh-CN"/>
        </w:rPr>
        <w:sectPr>
          <w:headerReference r:id="rId8" w:type="first"/>
          <w:headerReference r:id="rId7" w:type="default"/>
          <w:pgSz w:w="11906" w:h="16838"/>
          <w:pgMar w:top="1418" w:right="1701" w:bottom="1417" w:left="1701" w:header="851" w:footer="992" w:gutter="0"/>
          <w:cols w:space="720" w:num="1"/>
          <w:docGrid w:type="lines" w:linePitch="312" w:charSpace="0"/>
        </w:sectPr>
      </w:pPr>
      <w:r>
        <w:rPr>
          <w:rFonts w:eastAsia="黑体"/>
          <w:b/>
          <w:sz w:val="24"/>
        </w:rPr>
        <w:t xml:space="preserve">Keywords: </w:t>
      </w:r>
      <w:r>
        <w:rPr>
          <w:rFonts w:hint="eastAsia" w:eastAsia="黑体"/>
          <w:b w:val="0"/>
          <w:bCs/>
          <w:sz w:val="24"/>
          <w:lang w:val="en-US" w:eastAsia="zh-CN"/>
        </w:rPr>
        <w:t xml:space="preserve">medical image analysis, </w:t>
      </w:r>
      <w:r>
        <w:rPr>
          <w:rFonts w:eastAsia="黑体"/>
          <w:bCs/>
          <w:sz w:val="24"/>
        </w:rPr>
        <w:t>skin lesion segmentation</w:t>
      </w:r>
      <w:r>
        <w:rPr>
          <w:rFonts w:hint="eastAsia" w:eastAsia="黑体"/>
          <w:bCs/>
          <w:sz w:val="24"/>
          <w:lang w:val="en-US" w:eastAsia="zh-CN"/>
        </w:rPr>
        <w:t xml:space="preserve">, </w:t>
      </w:r>
      <w:r>
        <w:rPr>
          <w:rFonts w:eastAsia="黑体"/>
          <w:bCs/>
          <w:sz w:val="24"/>
        </w:rPr>
        <w:t>self-supervised learning</w:t>
      </w:r>
      <w:r>
        <w:rPr>
          <w:rFonts w:hint="eastAsia" w:eastAsia="黑体"/>
          <w:bCs/>
          <w:sz w:val="24"/>
          <w:lang w:val="en-US" w:eastAsia="zh-CN"/>
        </w:rPr>
        <w:t>,</w:t>
      </w:r>
      <w:r>
        <w:rPr>
          <w:rFonts w:eastAsia="黑体"/>
          <w:bCs/>
          <w:sz w:val="24"/>
        </w:rPr>
        <w:t xml:space="preserve"> self-distillatio</w:t>
      </w:r>
      <w:r>
        <w:rPr>
          <w:rFonts w:hint="eastAsia" w:eastAsia="黑体"/>
          <w:bCs/>
          <w:sz w:val="24"/>
          <w:lang w:val="en-US" w:eastAsia="zh-CN"/>
        </w:rPr>
        <w:t>n</w:t>
      </w:r>
    </w:p>
    <w:sdt>
      <w:sdtPr>
        <w:rPr>
          <w:rFonts w:ascii="宋体" w:hAnsi="宋体" w:eastAsia="宋体" w:cs="Times New Roman"/>
          <w:kern w:val="2"/>
          <w:sz w:val="21"/>
          <w:szCs w:val="24"/>
          <w:lang w:val="en-US" w:eastAsia="zh-CN" w:bidi="ar-SA"/>
        </w:rPr>
        <w:id w:val="147467552"/>
        <w15:color w:val="DBDBDB"/>
        <w:docPartObj>
          <w:docPartGallery w:val="Table of Contents"/>
          <w:docPartUnique/>
        </w:docPartObj>
      </w:sdtPr>
      <w:sdtEndPr>
        <w:rPr>
          <w:rFonts w:hint="default" w:ascii="Times New Roman" w:hAnsi="Times New Roman" w:cs="Times New Roman" w:eastAsiaTheme="majorEastAsia"/>
          <w:b w:val="0"/>
          <w:bCs w:val="0"/>
          <w:kern w:val="2"/>
          <w:sz w:val="24"/>
          <w:szCs w:val="24"/>
          <w:lang w:val="en-US" w:eastAsia="zh-CN" w:bidi="ar-SA"/>
        </w:rPr>
      </w:sdtEndPr>
      <w:sdtContent>
        <w:p w14:paraId="786B927B">
          <w:pPr>
            <w:spacing w:before="0" w:beforeLines="0" w:after="0" w:afterLines="0" w:line="240" w:lineRule="auto"/>
            <w:ind w:left="0" w:leftChars="0" w:right="0" w:rightChars="0" w:firstLine="0" w:firstLineChars="0"/>
            <w:jc w:val="center"/>
            <w:rPr>
              <w:rFonts w:hint="eastAsia" w:ascii="黑体" w:hAnsi="黑体" w:eastAsia="黑体" w:cs="黑体"/>
              <w:b/>
              <w:bCs/>
              <w:sz w:val="36"/>
              <w:szCs w:val="44"/>
            </w:rPr>
          </w:pPr>
          <w:r>
            <w:rPr>
              <w:rFonts w:hint="eastAsia" w:ascii="黑体" w:hAnsi="黑体" w:eastAsia="黑体" w:cs="黑体"/>
              <w:b/>
              <w:bCs/>
              <w:sz w:val="36"/>
              <w:szCs w:val="44"/>
            </w:rPr>
            <w:t>目</w:t>
          </w:r>
          <w:r>
            <w:rPr>
              <w:rFonts w:hint="eastAsia" w:ascii="黑体" w:hAnsi="黑体" w:eastAsia="黑体" w:cs="黑体"/>
              <w:b/>
              <w:bCs/>
              <w:sz w:val="36"/>
              <w:szCs w:val="44"/>
              <w:lang w:val="en-US" w:eastAsia="zh-CN"/>
            </w:rPr>
            <w:t xml:space="preserve">    </w:t>
          </w:r>
          <w:r>
            <w:rPr>
              <w:rFonts w:hint="eastAsia" w:ascii="黑体" w:hAnsi="黑体" w:eastAsia="黑体" w:cs="黑体"/>
              <w:b/>
              <w:bCs/>
              <w:sz w:val="36"/>
              <w:szCs w:val="44"/>
            </w:rPr>
            <w:t>录</w:t>
          </w:r>
        </w:p>
        <w:p w14:paraId="356E4B33">
          <w:pPr>
            <w:pStyle w:val="11"/>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TOC \o "1-3" \h \u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_Toc22397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lang w:val="en-US" w:eastAsia="zh-CN"/>
            </w:rPr>
            <w:t xml:space="preserve">1 </w:t>
          </w:r>
          <w:r>
            <w:rPr>
              <w:rFonts w:hint="default" w:ascii="Times New Roman" w:hAnsi="Times New Roman" w:eastAsia="宋体" w:cs="Times New Roman"/>
              <w:b w:val="0"/>
              <w:bCs w:val="0"/>
              <w:sz w:val="24"/>
              <w:szCs w:val="24"/>
            </w:rPr>
            <w:t>绪论</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_Toc22397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530717EF">
          <w:pPr>
            <w:pStyle w:val="13"/>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_Toc26068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1.1 研究背景</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_Toc26068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09C59BBC">
          <w:pPr>
            <w:pStyle w:val="13"/>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_Toc23930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1.2 Mask2Former分割框架</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_Toc23930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2</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1D2D17BF">
          <w:pPr>
            <w:pStyle w:val="13"/>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_Toc25980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1.3 自监督表征学习原理</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_Toc25980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236B8E43">
          <w:pPr>
            <w:pStyle w:val="13"/>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_Toc15302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1.4 本文研究内容</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_Toc15302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5</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2363DA25">
          <w:pPr>
            <w:pStyle w:val="13"/>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_Toc31845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1.5 本章小结</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_Toc31845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6</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36F5894E">
          <w:pPr>
            <w:pStyle w:val="11"/>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_Toc1215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lang w:val="en-US" w:eastAsia="zh-CN"/>
            </w:rPr>
            <w:t xml:space="preserve">2 </w:t>
          </w:r>
          <w:r>
            <w:rPr>
              <w:rFonts w:hint="default" w:ascii="Times New Roman" w:hAnsi="Times New Roman" w:eastAsia="宋体" w:cs="Times New Roman"/>
              <w:b w:val="0"/>
              <w:bCs w:val="0"/>
              <w:sz w:val="24"/>
              <w:szCs w:val="24"/>
            </w:rPr>
            <w:t>精细化皮肤病分割模型设计</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_Toc1215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8</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7DF516D9">
          <w:pPr>
            <w:pStyle w:val="13"/>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_Toc3835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2.1 模型总体架构设计</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_Toc3835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8</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1D1647BF">
          <w:pPr>
            <w:pStyle w:val="7"/>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_Toc16542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rPr>
            <w:t>.1.1 自监督特征提取底座（Encoder）</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_Toc16542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8</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4F246C88">
          <w:pPr>
            <w:pStyle w:val="7"/>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_Toc19492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lang w:val="en-US" w:eastAsia="zh-CN"/>
            </w:rPr>
            <w:t>2.1.2 掩码驱动的精细化分割模块（Decoder）</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_Toc19492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8</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467D3E2F">
          <w:pPr>
            <w:pStyle w:val="7"/>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_Toc21493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lang w:val="en-US" w:eastAsia="zh-CN"/>
            </w:rPr>
            <w:t>2.1.3 两阶段协同训练策略</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_Toc21493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8</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46BE20F1">
          <w:pPr>
            <w:pStyle w:val="13"/>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_Toc23114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2.2 自监督预训练底座的特征提取</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_Toc23114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9</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6B7814B0">
          <w:pPr>
            <w:pStyle w:val="7"/>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_Toc22303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2.2.1 自监督自蒸馏预训练机制</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_Toc22303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9</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2F491CFE">
          <w:pPr>
            <w:pStyle w:val="7"/>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_Toc13710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2.2.2 稠密对比正则化与局部特征增强</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_Toc13710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10</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14C4E62D">
          <w:pPr>
            <w:pStyle w:val="7"/>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_Toc20010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2.2.3 特征映射与多尺度输出</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_Toc20010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10</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6CA842BD">
          <w:pPr>
            <w:pStyle w:val="13"/>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_Toc4234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2.3 基于Mask2Former的分割头构建</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_Toc4234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10</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3C72DEFE">
          <w:pPr>
            <w:pStyle w:val="13"/>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_Toc27901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2.4 损失函数与训练策略</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_Toc27901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11</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74910BFA">
          <w:pPr>
            <w:pStyle w:val="11"/>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_Toc21596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lang w:val="en-US" w:eastAsia="zh-CN"/>
            </w:rPr>
            <w:t xml:space="preserve">3 </w:t>
          </w:r>
          <w:r>
            <w:rPr>
              <w:rFonts w:hint="default" w:ascii="Times New Roman" w:hAnsi="Times New Roman" w:eastAsia="宋体" w:cs="Times New Roman"/>
              <w:b w:val="0"/>
              <w:bCs w:val="0"/>
              <w:sz w:val="24"/>
              <w:szCs w:val="24"/>
            </w:rPr>
            <w:t>结果与讨论</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_Toc21596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13</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51BB6778">
          <w:pPr>
            <w:pStyle w:val="13"/>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_Toc12747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3.1 实验数据集与评估指标</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_Toc12747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13</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4C2E7BDE">
          <w:pPr>
            <w:pStyle w:val="7"/>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_Toc459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3.1.1 实验数据集介绍与预处理</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_Toc459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13</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12FDF061">
          <w:pPr>
            <w:pStyle w:val="7"/>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_Toc12310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3.1.2 评估指标及其临床意义</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_Toc12310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13</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473C40EE">
          <w:pPr>
            <w:pStyle w:val="13"/>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_Toc1216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3.2 性能对比与参数敏感性分析</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_Toc1216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14</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792A7FB6">
          <w:pPr>
            <w:pStyle w:val="7"/>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_Toc30927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3.2.1 方法有效性对比</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_Toc30927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14</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0646BF2C">
          <w:pPr>
            <w:pStyle w:val="7"/>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_Toc21617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lang w:val="en-US" w:eastAsia="zh-CN"/>
            </w:rPr>
            <w:t>3.2.2 消融实验与模块贡献分析</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_Toc21617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15</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5E3BDAE8">
          <w:pPr>
            <w:pStyle w:val="7"/>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_Toc2469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lang w:val="en-US" w:eastAsia="zh-CN"/>
            </w:rPr>
            <w:t>3.2.3 边界敏感指标分析</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_Toc2469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17</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518E415E">
          <w:pPr>
            <w:pStyle w:val="7"/>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_Toc29256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lang w:val="en-US" w:eastAsia="zh-CN"/>
            </w:rPr>
            <w:t>3.2.4 Query数量敏感性分析</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_Toc29256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17</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4DCCE38A">
          <w:pPr>
            <w:pStyle w:val="13"/>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_Toc27003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3.3 分割结果可视化分析</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_Toc27003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18</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0A52D6F5">
          <w:pPr>
            <w:pStyle w:val="11"/>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_Toc11020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lang w:val="en-US" w:eastAsia="zh-CN"/>
            </w:rPr>
            <w:t xml:space="preserve">4 </w:t>
          </w:r>
          <w:r>
            <w:rPr>
              <w:rFonts w:hint="default" w:ascii="Times New Roman" w:hAnsi="Times New Roman" w:eastAsia="宋体" w:cs="Times New Roman"/>
              <w:b w:val="0"/>
              <w:bCs w:val="0"/>
              <w:sz w:val="24"/>
              <w:szCs w:val="24"/>
            </w:rPr>
            <w:t>结论与展望</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_Toc11020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20</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1077698D">
          <w:pPr>
            <w:pStyle w:val="13"/>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_Toc264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4.1 结论</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_Toc264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20</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1AC2A701">
          <w:pPr>
            <w:pStyle w:val="13"/>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_Toc12990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4.2 展望</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_Toc12990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21</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5FBEA96F">
          <w:pPr>
            <w:pStyle w:val="11"/>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_Toc14226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参考文献</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_Toc14226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22</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7E9754AA">
          <w:pPr>
            <w:pStyle w:val="11"/>
            <w:tabs>
              <w:tab w:val="right" w:leader="dot" w:pos="8504"/>
            </w:tabs>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 HYPERLINK \l _Toc31841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 w:val="0"/>
              <w:bCs w:val="0"/>
              <w:sz w:val="24"/>
              <w:szCs w:val="24"/>
            </w:rPr>
            <w:t>致</w:t>
          </w:r>
          <w:r>
            <w:rPr>
              <w:rFonts w:hint="default" w:ascii="Times New Roman" w:hAnsi="Times New Roman" w:eastAsia="宋体" w:cs="Times New Roman"/>
              <w:b w:val="0"/>
              <w:bCs w:val="0"/>
              <w:sz w:val="24"/>
              <w:szCs w:val="24"/>
              <w:lang w:val="en-US" w:eastAsia="zh-CN"/>
            </w:rPr>
            <w:t xml:space="preserve">    </w:t>
          </w:r>
          <w:r>
            <w:rPr>
              <w:rFonts w:hint="default" w:ascii="Times New Roman" w:hAnsi="Times New Roman" w:eastAsia="宋体" w:cs="Times New Roman"/>
              <w:b w:val="0"/>
              <w:bCs w:val="0"/>
              <w:sz w:val="24"/>
              <w:szCs w:val="24"/>
            </w:rPr>
            <w:t>谢</w:t>
          </w:r>
          <w:r>
            <w:rPr>
              <w:rFonts w:hint="default" w:ascii="Times New Roman" w:hAnsi="Times New Roman" w:eastAsia="宋体" w:cs="Times New Roman"/>
              <w:b w:val="0"/>
              <w:bCs w:val="0"/>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_Toc31841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24</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b w:val="0"/>
              <w:bCs w:val="0"/>
              <w:kern w:val="2"/>
              <w:sz w:val="24"/>
              <w:szCs w:val="24"/>
              <w:lang w:val="en-US" w:eastAsia="zh-CN" w:bidi="ar-SA"/>
            </w:rPr>
            <w:fldChar w:fldCharType="end"/>
          </w:r>
        </w:p>
        <w:p w14:paraId="564C7E58">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both"/>
            <w:textAlignment w:val="auto"/>
            <w:outlineLvl w:val="9"/>
            <w:rPr>
              <w:rFonts w:hint="default" w:ascii="Times New Roman" w:hAnsi="Times New Roman" w:cs="Times New Roman" w:eastAsiaTheme="majorEastAsia"/>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fldChar w:fldCharType="end"/>
          </w:r>
        </w:p>
      </w:sdtContent>
    </w:sdt>
    <w:p w14:paraId="412149B3">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both"/>
        <w:textAlignment w:val="auto"/>
        <w:outlineLvl w:val="9"/>
        <w:rPr>
          <w:rFonts w:ascii="Times New Roman" w:hAnsi="Times New Roman" w:eastAsia="宋体" w:cs="Times New Roman"/>
          <w:bCs/>
          <w:kern w:val="2"/>
          <w:sz w:val="21"/>
          <w:szCs w:val="24"/>
          <w:lang w:val="en-US" w:eastAsia="zh-CN" w:bidi="ar-SA"/>
        </w:rPr>
      </w:pPr>
    </w:p>
    <w:p w14:paraId="0654F2AA">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ind w:left="403" w:leftChars="0"/>
        <w:jc w:val="center"/>
        <w:textAlignment w:val="auto"/>
        <w:outlineLvl w:val="9"/>
        <w:rPr>
          <w:rFonts w:ascii="Times New Roman" w:hAnsi="Times New Roman" w:cs="Times New Roman"/>
          <w:b w:val="0"/>
          <w:bCs/>
          <w:sz w:val="24"/>
          <w:szCs w:val="24"/>
        </w:rPr>
      </w:pPr>
    </w:p>
    <w:p w14:paraId="005654ED">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ind w:left="403" w:leftChars="0"/>
        <w:jc w:val="center"/>
        <w:textAlignment w:val="auto"/>
        <w:outlineLvl w:val="9"/>
        <w:rPr>
          <w:rFonts w:ascii="Times New Roman" w:hAnsi="Times New Roman" w:cs="Times New Roman"/>
          <w:b w:val="0"/>
          <w:bCs/>
          <w:sz w:val="24"/>
          <w:szCs w:val="24"/>
        </w:rPr>
      </w:pPr>
    </w:p>
    <w:p w14:paraId="145D41A3">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both"/>
        <w:textAlignment w:val="auto"/>
        <w:outlineLvl w:val="9"/>
        <w:rPr>
          <w:rFonts w:ascii="Times New Roman" w:hAnsi="Times New Roman" w:cs="Times New Roman"/>
          <w:b w:val="0"/>
          <w:bCs/>
          <w:sz w:val="24"/>
          <w:szCs w:val="24"/>
        </w:rPr>
      </w:pPr>
    </w:p>
    <w:p w14:paraId="10DF4AE6">
      <w:pPr>
        <w:jc w:val="center"/>
        <w:rPr>
          <w:rFonts w:hint="eastAsia"/>
          <w:b/>
          <w:bCs/>
          <w:sz w:val="36"/>
          <w:szCs w:val="36"/>
          <w:lang w:val="en-US" w:eastAsia="zh-CN"/>
        </w:rPr>
        <w:sectPr>
          <w:headerReference r:id="rId9" w:type="default"/>
          <w:footerReference r:id="rId10" w:type="default"/>
          <w:pgSz w:w="11906" w:h="16838"/>
          <w:pgMar w:top="1418" w:right="1701" w:bottom="1417" w:left="1701" w:header="851" w:footer="992" w:gutter="0"/>
          <w:pgNumType w:start="1"/>
          <w:cols w:space="720" w:num="1"/>
          <w:docGrid w:type="lines" w:linePitch="312" w:charSpace="0"/>
        </w:sectPr>
      </w:pPr>
    </w:p>
    <w:p w14:paraId="5EE5E5F8">
      <w:pPr>
        <w:jc w:val="center"/>
        <w:rPr>
          <w:rFonts w:hint="default"/>
          <w:b/>
          <w:bCs/>
          <w:sz w:val="36"/>
          <w:szCs w:val="36"/>
          <w:lang w:val="en-US" w:eastAsia="zh-CN"/>
        </w:rPr>
      </w:pPr>
      <w:r>
        <w:rPr>
          <w:rFonts w:hint="eastAsia"/>
          <w:b/>
          <w:bCs/>
          <w:sz w:val="36"/>
          <w:szCs w:val="36"/>
          <w:lang w:val="en-US" w:eastAsia="zh-CN"/>
        </w:rPr>
        <w:t>CONTENTS</w:t>
      </w:r>
    </w:p>
    <w:p w14:paraId="4C82F6C2">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center"/>
        <w:textAlignment w:val="auto"/>
        <w:outlineLvl w:val="9"/>
        <w:rPr>
          <w:rFonts w:hint="eastAsia" w:eastAsia="黑体"/>
          <w:b/>
          <w:bCs/>
          <w:sz w:val="32"/>
          <w:szCs w:val="32"/>
          <w:lang w:val="en-US" w:eastAsia="zh-CN"/>
        </w:rPr>
      </w:pPr>
      <w:bookmarkStart w:id="6" w:name="_Toc32416"/>
      <w:bookmarkStart w:id="7" w:name="_Toc22048"/>
    </w:p>
    <w:p w14:paraId="1CEFF41B">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center"/>
        <w:textAlignment w:val="auto"/>
        <w:outlineLvl w:val="9"/>
        <w:rPr>
          <w:rFonts w:hint="eastAsia" w:eastAsia="黑体"/>
          <w:b/>
          <w:bCs/>
          <w:sz w:val="32"/>
          <w:szCs w:val="32"/>
          <w:lang w:val="en-US" w:eastAsia="zh-CN"/>
        </w:rPr>
      </w:pPr>
    </w:p>
    <w:p w14:paraId="3093C000">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center"/>
        <w:textAlignment w:val="auto"/>
        <w:outlineLvl w:val="9"/>
        <w:rPr>
          <w:rFonts w:hint="eastAsia" w:eastAsia="黑体"/>
          <w:b/>
          <w:bCs/>
          <w:sz w:val="32"/>
          <w:szCs w:val="32"/>
          <w:lang w:val="en-US" w:eastAsia="zh-CN"/>
        </w:rPr>
      </w:pPr>
    </w:p>
    <w:p w14:paraId="1CD0F13A">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center"/>
        <w:textAlignment w:val="auto"/>
        <w:outlineLvl w:val="9"/>
        <w:rPr>
          <w:rFonts w:hint="eastAsia" w:eastAsia="黑体"/>
          <w:b/>
          <w:bCs/>
          <w:sz w:val="32"/>
          <w:szCs w:val="32"/>
          <w:lang w:val="en-US" w:eastAsia="zh-CN"/>
        </w:rPr>
      </w:pPr>
    </w:p>
    <w:p w14:paraId="63349ADD">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center"/>
        <w:textAlignment w:val="auto"/>
        <w:outlineLvl w:val="9"/>
        <w:rPr>
          <w:rFonts w:hint="eastAsia" w:eastAsia="黑体"/>
          <w:b/>
          <w:bCs/>
          <w:sz w:val="32"/>
          <w:szCs w:val="32"/>
          <w:lang w:val="en-US" w:eastAsia="zh-CN"/>
        </w:rPr>
      </w:pPr>
    </w:p>
    <w:p w14:paraId="6AEA628D">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center"/>
        <w:textAlignment w:val="auto"/>
        <w:outlineLvl w:val="9"/>
        <w:rPr>
          <w:rFonts w:hint="eastAsia" w:eastAsia="黑体"/>
          <w:b/>
          <w:bCs/>
          <w:sz w:val="32"/>
          <w:szCs w:val="32"/>
          <w:lang w:val="en-US" w:eastAsia="zh-CN"/>
        </w:rPr>
      </w:pPr>
    </w:p>
    <w:p w14:paraId="10891E7B">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center"/>
        <w:textAlignment w:val="auto"/>
        <w:outlineLvl w:val="9"/>
        <w:rPr>
          <w:rFonts w:hint="eastAsia" w:eastAsia="黑体"/>
          <w:b/>
          <w:bCs/>
          <w:sz w:val="32"/>
          <w:szCs w:val="32"/>
          <w:lang w:val="en-US" w:eastAsia="zh-CN"/>
        </w:rPr>
      </w:pPr>
    </w:p>
    <w:p w14:paraId="6796C786">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center"/>
        <w:textAlignment w:val="auto"/>
        <w:outlineLvl w:val="9"/>
        <w:rPr>
          <w:rFonts w:hint="eastAsia" w:eastAsia="黑体"/>
          <w:b/>
          <w:bCs/>
          <w:sz w:val="32"/>
          <w:szCs w:val="32"/>
          <w:lang w:val="en-US" w:eastAsia="zh-CN"/>
        </w:rPr>
      </w:pPr>
    </w:p>
    <w:p w14:paraId="398F3CD2">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center"/>
        <w:textAlignment w:val="auto"/>
        <w:outlineLvl w:val="9"/>
        <w:rPr>
          <w:rFonts w:hint="eastAsia" w:eastAsia="黑体"/>
          <w:b/>
          <w:bCs/>
          <w:sz w:val="32"/>
          <w:szCs w:val="32"/>
          <w:lang w:val="en-US" w:eastAsia="zh-CN"/>
        </w:rPr>
      </w:pPr>
    </w:p>
    <w:p w14:paraId="16E0B750">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center"/>
        <w:textAlignment w:val="auto"/>
        <w:outlineLvl w:val="9"/>
        <w:rPr>
          <w:rFonts w:hint="eastAsia" w:eastAsia="黑体"/>
          <w:b/>
          <w:bCs/>
          <w:sz w:val="32"/>
          <w:szCs w:val="32"/>
          <w:lang w:val="en-US" w:eastAsia="zh-CN"/>
        </w:rPr>
      </w:pPr>
    </w:p>
    <w:p w14:paraId="2B477732">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center"/>
        <w:textAlignment w:val="auto"/>
        <w:outlineLvl w:val="9"/>
        <w:rPr>
          <w:rFonts w:hint="eastAsia" w:eastAsia="黑体"/>
          <w:b/>
          <w:bCs/>
          <w:sz w:val="32"/>
          <w:szCs w:val="32"/>
          <w:lang w:val="en-US" w:eastAsia="zh-CN"/>
        </w:rPr>
      </w:pPr>
    </w:p>
    <w:p w14:paraId="6588FD78">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center"/>
        <w:textAlignment w:val="auto"/>
        <w:outlineLvl w:val="9"/>
        <w:rPr>
          <w:rFonts w:hint="eastAsia" w:eastAsia="黑体"/>
          <w:b/>
          <w:bCs/>
          <w:sz w:val="32"/>
          <w:szCs w:val="32"/>
          <w:lang w:val="en-US" w:eastAsia="zh-CN"/>
        </w:rPr>
      </w:pPr>
    </w:p>
    <w:p w14:paraId="5D524781">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center"/>
        <w:textAlignment w:val="auto"/>
        <w:outlineLvl w:val="9"/>
        <w:rPr>
          <w:rFonts w:hint="eastAsia" w:eastAsia="黑体"/>
          <w:b/>
          <w:bCs/>
          <w:sz w:val="32"/>
          <w:szCs w:val="32"/>
          <w:lang w:val="en-US" w:eastAsia="zh-CN"/>
        </w:rPr>
      </w:pPr>
    </w:p>
    <w:p w14:paraId="2FCE6B67">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center"/>
        <w:textAlignment w:val="auto"/>
        <w:outlineLvl w:val="9"/>
        <w:rPr>
          <w:rFonts w:hint="eastAsia" w:eastAsia="黑体"/>
          <w:b/>
          <w:bCs/>
          <w:sz w:val="32"/>
          <w:szCs w:val="32"/>
          <w:lang w:val="en-US" w:eastAsia="zh-CN"/>
        </w:rPr>
      </w:pPr>
    </w:p>
    <w:p w14:paraId="7961722A">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center"/>
        <w:textAlignment w:val="auto"/>
        <w:outlineLvl w:val="9"/>
        <w:rPr>
          <w:rFonts w:hint="eastAsia" w:eastAsia="黑体"/>
          <w:b/>
          <w:bCs/>
          <w:sz w:val="32"/>
          <w:szCs w:val="32"/>
          <w:lang w:val="en-US" w:eastAsia="zh-CN"/>
        </w:rPr>
      </w:pPr>
    </w:p>
    <w:p w14:paraId="37C82372">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center"/>
        <w:textAlignment w:val="auto"/>
        <w:outlineLvl w:val="9"/>
        <w:rPr>
          <w:rFonts w:hint="eastAsia" w:eastAsia="黑体"/>
          <w:b/>
          <w:bCs/>
          <w:sz w:val="32"/>
          <w:szCs w:val="32"/>
          <w:lang w:val="en-US" w:eastAsia="zh-CN"/>
        </w:rPr>
      </w:pPr>
    </w:p>
    <w:p w14:paraId="461D4F14">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center"/>
        <w:textAlignment w:val="auto"/>
        <w:outlineLvl w:val="9"/>
        <w:rPr>
          <w:rFonts w:hint="eastAsia" w:eastAsia="黑体"/>
          <w:b/>
          <w:bCs/>
          <w:sz w:val="32"/>
          <w:szCs w:val="32"/>
          <w:lang w:val="en-US" w:eastAsia="zh-CN"/>
        </w:rPr>
      </w:pPr>
    </w:p>
    <w:p w14:paraId="66F175DE">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center"/>
        <w:textAlignment w:val="auto"/>
        <w:outlineLvl w:val="0"/>
        <w:rPr>
          <w:rFonts w:hint="eastAsia" w:eastAsia="黑体"/>
          <w:b/>
          <w:bCs/>
          <w:sz w:val="32"/>
          <w:szCs w:val="32"/>
          <w:lang w:val="en-US" w:eastAsia="zh-CN"/>
        </w:rPr>
        <w:sectPr>
          <w:footerReference r:id="rId11" w:type="default"/>
          <w:pgSz w:w="11906" w:h="16838"/>
          <w:pgMar w:top="1418" w:right="1701" w:bottom="1417" w:left="1701" w:header="851" w:footer="992" w:gutter="0"/>
          <w:pgNumType w:start="1"/>
          <w:cols w:space="720" w:num="1"/>
          <w:docGrid w:type="lines" w:linePitch="312" w:charSpace="0"/>
        </w:sectPr>
      </w:pPr>
    </w:p>
    <w:p w14:paraId="3757B383">
      <w:pPr>
        <w:keepNext w:val="0"/>
        <w:keepLines w:val="0"/>
        <w:pageBreakBefore w:val="0"/>
        <w:widowControl w:val="0"/>
        <w:numPr>
          <w:ilvl w:val="0"/>
          <w:numId w:val="0"/>
        </w:numPr>
        <w:kinsoku/>
        <w:wordWrap/>
        <w:overflowPunct/>
        <w:topLinePunct w:val="0"/>
        <w:autoSpaceDE/>
        <w:autoSpaceDN/>
        <w:bidi w:val="0"/>
        <w:adjustRightInd/>
        <w:snapToGrid/>
        <w:spacing w:before="160" w:after="100" w:line="413" w:lineRule="auto"/>
        <w:jc w:val="center"/>
        <w:textAlignment w:val="auto"/>
        <w:outlineLvl w:val="0"/>
        <w:rPr>
          <w:rFonts w:hint="eastAsia" w:eastAsia="黑体"/>
          <w:b/>
          <w:bCs/>
          <w:sz w:val="32"/>
          <w:szCs w:val="32"/>
          <w:lang w:val="en-US" w:eastAsia="zh-CN"/>
        </w:rPr>
      </w:pPr>
      <w:bookmarkStart w:id="8" w:name="_Toc22397"/>
      <w:r>
        <w:rPr>
          <w:rFonts w:hint="eastAsia" w:eastAsia="黑体"/>
          <w:b/>
          <w:bCs/>
          <w:sz w:val="32"/>
          <w:szCs w:val="32"/>
          <w:lang w:val="en-US" w:eastAsia="zh-CN"/>
        </w:rPr>
        <w:t xml:space="preserve">1 </w:t>
      </w:r>
      <w:r>
        <w:rPr>
          <w:rFonts w:eastAsia="黑体"/>
          <w:b/>
          <w:bCs/>
          <w:sz w:val="32"/>
          <w:szCs w:val="32"/>
        </w:rPr>
        <w:t>绪论</w:t>
      </w:r>
      <w:bookmarkEnd w:id="6"/>
      <w:bookmarkEnd w:id="7"/>
      <w:bookmarkEnd w:id="8"/>
    </w:p>
    <w:p w14:paraId="3A8E7BB0">
      <w:pPr>
        <w:keepNext w:val="0"/>
        <w:keepLines w:val="0"/>
        <w:pageBreakBefore w:val="0"/>
        <w:widowControl w:val="0"/>
        <w:numPr>
          <w:ilvl w:val="1"/>
          <w:numId w:val="1"/>
        </w:numPr>
        <w:kinsoku/>
        <w:wordWrap/>
        <w:overflowPunct/>
        <w:topLinePunct w:val="0"/>
        <w:autoSpaceDE/>
        <w:autoSpaceDN/>
        <w:bidi w:val="0"/>
        <w:adjustRightInd/>
        <w:snapToGrid/>
        <w:spacing w:before="100" w:after="100" w:line="413" w:lineRule="auto"/>
        <w:ind w:left="0"/>
        <w:jc w:val="both"/>
        <w:textAlignment w:val="auto"/>
        <w:outlineLvl w:val="1"/>
        <w:rPr>
          <w:rFonts w:eastAsia="黑体"/>
          <w:b/>
          <w:bCs/>
          <w:sz w:val="28"/>
          <w:szCs w:val="28"/>
        </w:rPr>
      </w:pPr>
      <w:bookmarkStart w:id="9" w:name="_Toc19698"/>
      <w:bookmarkStart w:id="10" w:name="_Toc7682"/>
      <w:bookmarkStart w:id="11" w:name="_Toc27172"/>
      <w:bookmarkStart w:id="12" w:name="_Toc6845"/>
      <w:bookmarkStart w:id="13" w:name="_Toc26068"/>
      <w:r>
        <w:rPr>
          <w:rFonts w:eastAsia="黑体"/>
          <w:b/>
          <w:bCs/>
          <w:sz w:val="28"/>
          <w:szCs w:val="28"/>
        </w:rPr>
        <w:t>研究背景</w:t>
      </w:r>
      <w:bookmarkEnd w:id="9"/>
      <w:bookmarkEnd w:id="10"/>
      <w:bookmarkEnd w:id="11"/>
      <w:bookmarkEnd w:id="12"/>
      <w:bookmarkEnd w:id="13"/>
    </w:p>
    <w:p w14:paraId="072BD347">
      <w:pPr>
        <w:keepNext w:val="0"/>
        <w:keepLines w:val="0"/>
        <w:pageBreakBefore w:val="0"/>
        <w:widowControl w:val="0"/>
        <w:kinsoku/>
        <w:wordWrap/>
        <w:overflowPunct/>
        <w:topLinePunct w:val="0"/>
        <w:autoSpaceDE/>
        <w:autoSpaceDN/>
        <w:bidi w:val="0"/>
        <w:adjustRightInd/>
        <w:snapToGrid/>
        <w:spacing w:before="100" w:after="100" w:line="360" w:lineRule="auto"/>
        <w:ind w:left="403" w:firstLine="420"/>
        <w:textAlignment w:val="auto"/>
        <w:rPr>
          <w:sz w:val="24"/>
        </w:rPr>
      </w:pPr>
      <w:r>
        <w:rPr>
          <w:sz w:val="24"/>
        </w:rPr>
        <w:t>随着全球范围内皮肤疾病发病率的持续上升，皮肤肿瘤已成为威胁人类健康的重要疾病之一。研究表明，皮肤病在不同人群中均具有较高发病率，而由于肤色差异及病变部位的多样性，部分患者往往在晚期才被确诊，严重影响治疗效果。因此，实现皮肤病的早期检测与精准诊断具有临床意义。</w:t>
      </w:r>
    </w:p>
    <w:p w14:paraId="3754F115">
      <w:pPr>
        <w:keepNext w:val="0"/>
        <w:keepLines w:val="0"/>
        <w:pageBreakBefore w:val="0"/>
        <w:widowControl w:val="0"/>
        <w:kinsoku/>
        <w:wordWrap/>
        <w:overflowPunct/>
        <w:topLinePunct w:val="0"/>
        <w:autoSpaceDE/>
        <w:autoSpaceDN/>
        <w:bidi w:val="0"/>
        <w:adjustRightInd/>
        <w:snapToGrid/>
        <w:spacing w:before="100" w:after="100" w:line="360" w:lineRule="auto"/>
        <w:ind w:left="403" w:firstLine="420"/>
        <w:textAlignment w:val="auto"/>
        <w:rPr>
          <w:sz w:val="24"/>
        </w:rPr>
      </w:pPr>
      <w:r>
        <w:rPr>
          <w:sz w:val="24"/>
        </w:rPr>
        <w:t>在临床实践中，皮肤病诊断主要依赖皮肤镜（Dermoscopy）等无创成像技术。皮肤镜技术通过消除皮肤表面的反射，使医生能观察到表皮下方的微细结构。其图像具有以下显著特征：其一，同一种皮肤病在不同患者身上的表现（颜色、纹理、形状）可能完全不同，不同种类的疾病（如黑色素细胞痣与黑色素瘤）在视觉上却高度相似；其二，许多恶性病灶与正常皮肤的过渡区域缺乏清晰的物理边界，呈现出渐进式的颜色过渡；其三，图像中常伴有毛发、油污、气泡、皱纹、手术标记以及由于拍摄设备造成的周边黑影（Vignetting）；其四，诊断不仅依赖于病灶的整体几何轮廓，还依赖于内部细微的网状结构或斑点。</w:t>
      </w:r>
    </w:p>
    <w:p w14:paraId="3EF2CE15">
      <w:pPr>
        <w:keepNext w:val="0"/>
        <w:keepLines w:val="0"/>
        <w:pageBreakBefore w:val="0"/>
        <w:widowControl w:val="0"/>
        <w:kinsoku/>
        <w:wordWrap/>
        <w:overflowPunct/>
        <w:topLinePunct w:val="0"/>
        <w:autoSpaceDE/>
        <w:autoSpaceDN/>
        <w:bidi w:val="0"/>
        <w:adjustRightInd/>
        <w:snapToGrid/>
        <w:spacing w:before="100" w:after="100" w:line="360" w:lineRule="auto"/>
        <w:ind w:left="403" w:firstLine="420"/>
        <w:textAlignment w:val="auto"/>
        <w:rPr>
          <w:rFonts w:hint="eastAsia"/>
          <w:sz w:val="24"/>
        </w:rPr>
      </w:pPr>
      <w:r>
        <w:rPr>
          <w:sz w:val="24"/>
        </w:rPr>
        <w:t>早期方法通常基于医生经验和人工规则（如ABCD法则）进行判断，但该类方法具有较强的主观性，且对医生经验依赖较高。</w:t>
      </w:r>
      <w:r>
        <w:rPr>
          <w:rFonts w:hint="eastAsia"/>
          <w:sz w:val="24"/>
        </w:rPr>
        <w:t>随着人工智能技术的发展，基于深度学习的医学图像分析方法被广泛应用。在完全监督学习方面，国内外早期研究主要依赖基于卷积神经网络（CNN）的架构（如经典的 UNet 及其变体 UNet++</w:t>
      </w:r>
      <w:bookmarkStart w:id="176" w:name="_GoBack"/>
      <w:r>
        <w:rPr>
          <w:rFonts w:hint="eastAsia"/>
          <w:lang w:val="en-US" w:eastAsia="zh-CN"/>
        </w:rPr>
        <w:t>[1]</w:t>
      </w:r>
      <w:bookmarkEnd w:id="176"/>
      <w:r>
        <w:rPr>
          <w:rFonts w:hint="eastAsia"/>
          <w:sz w:val="24"/>
        </w:rPr>
        <w:t>）进行像素级分割。近年来，随着注意力机制的兴起，以 Transformer 为核心的模型（如 TransUNet</w:t>
      </w:r>
      <w:r>
        <w:rPr>
          <w:rFonts w:hint="eastAsia"/>
          <w:sz w:val="24"/>
          <w:lang w:val="en-US" w:eastAsia="zh-CN"/>
        </w:rPr>
        <w:t>[2]</w:t>
      </w:r>
      <w:r>
        <w:rPr>
          <w:rFonts w:hint="eastAsia"/>
          <w:sz w:val="24"/>
        </w:rPr>
        <w:t xml:space="preserve"> 、Swin-Unet</w:t>
      </w:r>
      <w:r>
        <w:rPr>
          <w:rFonts w:hint="eastAsia"/>
          <w:sz w:val="24"/>
          <w:lang w:val="en-US" w:eastAsia="zh-CN"/>
        </w:rPr>
        <w:t>[3]</w:t>
      </w:r>
      <w:r>
        <w:rPr>
          <w:rFonts w:hint="eastAsia"/>
          <w:sz w:val="24"/>
        </w:rPr>
        <w:t xml:space="preserve"> 和 SegFormer</w:t>
      </w:r>
      <w:r>
        <w:rPr>
          <w:rFonts w:hint="eastAsia"/>
          <w:sz w:val="24"/>
          <w:lang w:val="en-US" w:eastAsia="zh-CN"/>
        </w:rPr>
        <w:t>[4]</w:t>
      </w:r>
      <w:r>
        <w:rPr>
          <w:rFonts w:hint="eastAsia"/>
          <w:sz w:val="24"/>
        </w:rPr>
        <w:t>）被引入医学图像领域，通过建立长距离依赖关系，显著提升了模型对病灶全局形态的捕捉能力。</w:t>
      </w:r>
    </w:p>
    <w:p w14:paraId="4D7F895B">
      <w:pPr>
        <w:keepNext w:val="0"/>
        <w:keepLines w:val="0"/>
        <w:pageBreakBefore w:val="0"/>
        <w:widowControl w:val="0"/>
        <w:kinsoku/>
        <w:wordWrap/>
        <w:overflowPunct/>
        <w:topLinePunct w:val="0"/>
        <w:autoSpaceDE/>
        <w:autoSpaceDN/>
        <w:bidi w:val="0"/>
        <w:adjustRightInd/>
        <w:snapToGrid/>
        <w:spacing w:before="100" w:after="100" w:line="360" w:lineRule="auto"/>
        <w:ind w:left="403" w:firstLine="420"/>
        <w:textAlignment w:val="auto"/>
        <w:rPr>
          <w:rFonts w:hint="eastAsia"/>
          <w:sz w:val="24"/>
        </w:rPr>
      </w:pPr>
      <w:r>
        <w:rPr>
          <w:rFonts w:hint="eastAsia"/>
          <w:sz w:val="24"/>
        </w:rPr>
        <w:t>然而，全监督模型极度依赖高质量的人工标注。由于不同医生对病灶边缘的判断存在主观性（即“软边缘”矛盾），且皮肤病种类繁多，模型极易产生误判。为了打破标注数据的限制，自监督学习（Self-Supervised Learning, SSL）逐渐成为国内外的研究热点。该方法通过构建预训练任务，从未标注数据中学习通用特征表示。典型方法包括基于对比学习的 SimCLR、MoCo，以及基于自蒸馏的 DINO 等 [5-7]。在皮肤病垂直领域，国内外学者也进行了大量探索，例如 Chen 等人提出了面向 Transformer 的全局到局部自监督学习方法（G2LL）</w:t>
      </w:r>
      <w:r>
        <w:rPr>
          <w:rFonts w:hint="eastAsia"/>
          <w:sz w:val="24"/>
          <w:lang w:val="en-US" w:eastAsia="zh-CN"/>
        </w:rPr>
        <w:t>[8]</w:t>
      </w:r>
      <w:r>
        <w:rPr>
          <w:rFonts w:hint="eastAsia"/>
          <w:sz w:val="24"/>
        </w:rPr>
        <w:t>，通过掩码图像建模有效提取了皮肤镜图像的局部结构特征。</w:t>
      </w:r>
    </w:p>
    <w:p w14:paraId="49821C2C">
      <w:pPr>
        <w:keepNext w:val="0"/>
        <w:keepLines w:val="0"/>
        <w:pageBreakBefore w:val="0"/>
        <w:widowControl w:val="0"/>
        <w:kinsoku/>
        <w:wordWrap/>
        <w:overflowPunct/>
        <w:topLinePunct w:val="0"/>
        <w:autoSpaceDE/>
        <w:autoSpaceDN/>
        <w:bidi w:val="0"/>
        <w:adjustRightInd/>
        <w:snapToGrid/>
        <w:spacing w:before="100" w:after="100" w:line="360" w:lineRule="auto"/>
        <w:ind w:left="403" w:firstLine="420"/>
        <w:textAlignment w:val="auto"/>
        <w:rPr>
          <w:rFonts w:hint="eastAsia"/>
          <w:sz w:val="24"/>
        </w:rPr>
      </w:pPr>
      <w:r>
        <w:rPr>
          <w:rFonts w:hint="eastAsia"/>
          <w:sz w:val="24"/>
        </w:rPr>
        <w:t>进入大模型时代后，医学视觉基础模型展现出前所未有的泛化能力。国际顶级机构相继推出了如 BiomedCLIP [9] 和 Med-Gemini [10] 等通用医学多模态模型。更值得注意的是，针对皮肤病学的高度复杂性，Yan 等人最新研发了临床皮肤病学多模态视觉基础模型（PanDerm）[11]，通过海量数据的自监督预训练，极大地提升了皮肤病特征的领域判别能力。</w:t>
      </w:r>
    </w:p>
    <w:p w14:paraId="7DC0FEAD">
      <w:pPr>
        <w:keepNext w:val="0"/>
        <w:keepLines w:val="0"/>
        <w:pageBreakBefore w:val="0"/>
        <w:widowControl w:val="0"/>
        <w:kinsoku/>
        <w:wordWrap/>
        <w:overflowPunct/>
        <w:topLinePunct w:val="0"/>
        <w:autoSpaceDE/>
        <w:autoSpaceDN/>
        <w:bidi w:val="0"/>
        <w:adjustRightInd/>
        <w:snapToGrid/>
        <w:spacing w:before="100" w:after="100" w:line="360" w:lineRule="auto"/>
        <w:ind w:left="403" w:firstLine="420"/>
        <w:textAlignment w:val="auto"/>
        <w:rPr>
          <w:rFonts w:hint="eastAsia"/>
          <w:sz w:val="24"/>
        </w:rPr>
      </w:pPr>
      <w:r>
        <w:rPr>
          <w:rFonts w:hint="eastAsia"/>
          <w:sz w:val="24"/>
        </w:rPr>
        <w:t>尽管如此，现有自监督方法和视觉基础模型大多侧重于学习全局语义特征，在分类或图像级理解任务中表现优异；但在皮肤病分割等密集预测任务中，由于缺乏局部特征一致性约束，其性能仍存在局限。皮肤病分割不仅依赖整体几何轮廓，还需要精细处理渐进式的颜色过渡和微小结构，这对模型的空间局部建模能力提出了更高要求。</w:t>
      </w:r>
    </w:p>
    <w:p w14:paraId="455B554B">
      <w:pPr>
        <w:keepNext w:val="0"/>
        <w:keepLines w:val="0"/>
        <w:pageBreakBefore w:val="0"/>
        <w:widowControl w:val="0"/>
        <w:kinsoku/>
        <w:wordWrap/>
        <w:overflowPunct/>
        <w:topLinePunct w:val="0"/>
        <w:autoSpaceDE/>
        <w:autoSpaceDN/>
        <w:bidi w:val="0"/>
        <w:adjustRightInd/>
        <w:snapToGrid/>
        <w:spacing w:before="100" w:after="100" w:line="360" w:lineRule="auto"/>
        <w:ind w:left="403" w:firstLine="420"/>
        <w:textAlignment w:val="auto"/>
        <w:rPr>
          <w:sz w:val="24"/>
        </w:rPr>
      </w:pPr>
      <w:r>
        <w:rPr>
          <w:rFonts w:hint="eastAsia"/>
          <w:sz w:val="24"/>
        </w:rPr>
        <w:t>因此，如何结合先进的自监督表征学习（如 DINO 预训练）与新一代掩码分割框架（如 Mask2Former [12]），在充分利用无标注数据的同时，解决边缘精细化问题并提升模型在密集预测任务中的表现，已成为当前医学图像分析领域的重要研究方向。</w:t>
      </w:r>
      <w:r>
        <w:rPr>
          <w:sz w:val="24"/>
        </w:rPr>
        <w:t>然而，现有方法仍面临若干关键挑战。首先，医学图像标注依赖专业医生，获取高质量标注数据成本较高，导致训练数据规模受限。不同医生对边缘的判断存在主观性，导致训练数据本身存在“软边缘”矛盾。其次，由于皮肤病种类繁多，模型极易产生误判，要求模型不仅要学习分类特征，更要学习具有领域判别性的表征。再次，简单的逐像素分类缺乏对病灶整体形状的约束，需要解决边缘精细化问题。这些问题在很大程度上限制了深度学习模型在实际临床中的应用。</w:t>
      </w:r>
    </w:p>
    <w:p w14:paraId="194CD1CD">
      <w:pPr>
        <w:keepNext w:val="0"/>
        <w:keepLines w:val="0"/>
        <w:pageBreakBefore w:val="0"/>
        <w:widowControl w:val="0"/>
        <w:numPr>
          <w:ilvl w:val="1"/>
          <w:numId w:val="1"/>
        </w:numPr>
        <w:kinsoku/>
        <w:wordWrap/>
        <w:overflowPunct/>
        <w:topLinePunct w:val="0"/>
        <w:autoSpaceDE/>
        <w:autoSpaceDN/>
        <w:bidi w:val="0"/>
        <w:adjustRightInd/>
        <w:snapToGrid/>
        <w:spacing w:before="100" w:after="100" w:line="240" w:lineRule="auto"/>
        <w:ind w:left="0" w:firstLine="0" w:firstLineChars="0"/>
        <w:textAlignment w:val="auto"/>
        <w:outlineLvl w:val="1"/>
        <w:rPr>
          <w:rFonts w:eastAsia="黑体"/>
          <w:b/>
          <w:bCs/>
          <w:sz w:val="28"/>
          <w:szCs w:val="28"/>
        </w:rPr>
      </w:pPr>
      <w:bookmarkStart w:id="14" w:name="_Toc24941"/>
      <w:bookmarkStart w:id="15" w:name="_Toc6094"/>
      <w:bookmarkStart w:id="16" w:name="_Toc31428"/>
      <w:bookmarkStart w:id="17" w:name="_Toc19740"/>
      <w:bookmarkStart w:id="18" w:name="_Toc23930"/>
      <w:r>
        <w:rPr>
          <w:rFonts w:eastAsia="黑体"/>
          <w:b/>
          <w:bCs/>
          <w:sz w:val="28"/>
          <w:szCs w:val="28"/>
        </w:rPr>
        <w:t>Mask2Former分割框架</w:t>
      </w:r>
      <w:bookmarkEnd w:id="14"/>
      <w:bookmarkEnd w:id="15"/>
      <w:bookmarkEnd w:id="16"/>
      <w:bookmarkEnd w:id="17"/>
      <w:bookmarkEnd w:id="18"/>
    </w:p>
    <w:p w14:paraId="3319719A">
      <w:pPr>
        <w:keepNext w:val="0"/>
        <w:keepLines w:val="0"/>
        <w:pageBreakBefore w:val="0"/>
        <w:widowControl w:val="0"/>
        <w:kinsoku/>
        <w:wordWrap/>
        <w:overflowPunct/>
        <w:topLinePunct w:val="0"/>
        <w:autoSpaceDE/>
        <w:autoSpaceDN/>
        <w:bidi w:val="0"/>
        <w:adjustRightInd/>
        <w:snapToGrid/>
        <w:spacing w:before="100" w:after="100" w:line="360" w:lineRule="auto"/>
        <w:ind w:left="403" w:firstLine="420"/>
        <w:textAlignment w:val="auto"/>
        <w:rPr>
          <w:sz w:val="24"/>
        </w:rPr>
      </w:pPr>
      <w:r>
        <w:rPr>
          <w:sz w:val="24"/>
        </w:rPr>
        <w:t>Mask2Former是Facebook团队于2021年底提出的基于Transformer的端到端的检测、分割框架，是对2021年MaskFormer的进一步改进</w:t>
      </w:r>
      <w:r>
        <w:rPr>
          <w:rFonts w:hint="eastAsia"/>
          <w:sz w:val="24"/>
          <w:lang w:val="en-US" w:eastAsia="zh-CN"/>
        </w:rPr>
        <w:t>[12]</w:t>
      </w:r>
      <w:r>
        <w:rPr>
          <w:sz w:val="24"/>
        </w:rPr>
        <w:t>。其基本思想是把语义分割、实例分割用一个统一的框架、损失和训练过程来实现，都定义为掩膜分类任务。即去除人工先验，把实例分割作为一个集合预测问题来看待。大致过程是，首先，用backbone提取图像的基础特征，然后分2个分支，一个分支通过pixel decoder 模块生成p</w:t>
      </w:r>
      <w:r>
        <w:rPr>
          <w:rFonts w:hint="eastAsia"/>
          <w:sz w:val="24"/>
        </w:rPr>
        <w:t>i</w:t>
      </w:r>
      <w:r>
        <w:rPr>
          <w:sz w:val="24"/>
        </w:rPr>
        <w:t>xel的embedding，一个分支是通过Transformer decoder生成N个segment，然后segment后加FC和softmax就得到类别的概率估计。</w:t>
      </w:r>
    </w:p>
    <w:p w14:paraId="7227E966">
      <w:pPr>
        <w:keepNext w:val="0"/>
        <w:keepLines w:val="0"/>
        <w:pageBreakBefore w:val="0"/>
        <w:widowControl w:val="0"/>
        <w:kinsoku/>
        <w:wordWrap/>
        <w:overflowPunct/>
        <w:topLinePunct w:val="0"/>
        <w:autoSpaceDE/>
        <w:autoSpaceDN/>
        <w:bidi w:val="0"/>
        <w:adjustRightInd/>
        <w:snapToGrid/>
        <w:spacing w:before="100" w:after="100" w:line="360" w:lineRule="auto"/>
        <w:ind w:left="403" w:firstLine="420"/>
        <w:textAlignment w:val="auto"/>
        <w:rPr>
          <w:sz w:val="24"/>
        </w:rPr>
      </w:pPr>
      <w:r>
        <w:rPr>
          <w:sz w:val="24"/>
        </w:rPr>
        <w:t>对于mask的预测，先通过N个segment经过两层的MLP生成N个mask embedding，然后mask embedding和前面的pixel embedding相乘加sigmoid激活函数得到。计算Loss时用二分图匹配来配对预测和真值构造集合损失，从而简化pipeline实现端到端的</w:t>
      </w:r>
      <w:r>
        <w:rPr>
          <w:rFonts w:hint="eastAsia"/>
          <w:sz w:val="24"/>
        </w:rPr>
        <w:t>分割</w:t>
      </w:r>
      <w:r>
        <w:rPr>
          <w:sz w:val="24"/>
        </w:rPr>
        <w:t>。</w:t>
      </w:r>
    </w:p>
    <w:p w14:paraId="262D75B8">
      <w:pPr>
        <w:keepNext w:val="0"/>
        <w:keepLines w:val="0"/>
        <w:pageBreakBefore w:val="0"/>
        <w:widowControl w:val="0"/>
        <w:kinsoku/>
        <w:wordWrap/>
        <w:overflowPunct/>
        <w:topLinePunct w:val="0"/>
        <w:autoSpaceDE/>
        <w:autoSpaceDN/>
        <w:bidi w:val="0"/>
        <w:adjustRightInd/>
        <w:snapToGrid/>
        <w:spacing w:before="100" w:after="100" w:line="360" w:lineRule="auto"/>
        <w:ind w:left="403" w:firstLine="420"/>
        <w:textAlignment w:val="auto"/>
        <w:rPr>
          <w:rFonts w:hint="eastAsia"/>
          <w:sz w:val="24"/>
        </w:rPr>
      </w:pPr>
      <w:r>
        <w:rPr>
          <w:sz w:val="24"/>
        </w:rPr>
        <w:t>Mask2Former核心创新在于，一是修改Transformer Decoder的attention为mask attention并和self-attention交换位置，以保证前景间互相attention忽略背景的干扰；二是添加多尺度特征，即把pixel decoder的不同层做特征金字塔分别输入到transformer decoder不同层中，从而提升小目标的识别效果；最后是在少量采样随机点而非全图上计算mask loss，以提升速度。</w:t>
      </w:r>
      <w:r>
        <w:rPr>
          <w:rFonts w:hint="eastAsia"/>
          <w:sz w:val="24"/>
        </w:rPr>
        <w:t>模型结构如图1-2所示。</w:t>
      </w:r>
    </w:p>
    <w:p w14:paraId="0E6ADC31">
      <w:pPr>
        <w:spacing w:line="300" w:lineRule="auto"/>
        <w:ind w:left="403" w:firstLine="420"/>
        <w:jc w:val="center"/>
        <w:rPr>
          <w:rFonts w:hint="eastAsia" w:eastAsia="宋体"/>
          <w:sz w:val="24"/>
          <w:lang w:eastAsia="zh-CN"/>
        </w:rPr>
      </w:pPr>
      <w:r>
        <w:rPr>
          <w:rFonts w:hint="eastAsia" w:eastAsia="宋体"/>
          <w:sz w:val="24"/>
          <w:lang w:eastAsia="zh-CN"/>
        </w:rPr>
        <w:drawing>
          <wp:inline distT="0" distB="0" distL="114300" distR="114300">
            <wp:extent cx="3248660" cy="2265680"/>
            <wp:effectExtent l="0" t="0" r="0" b="0"/>
            <wp:docPr id="3" name="图片 3" descr="毕业论文作图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毕业论文作图_03"/>
                    <pic:cNvPicPr>
                      <a:picLocks noChangeAspect="1"/>
                    </pic:cNvPicPr>
                  </pic:nvPicPr>
                  <pic:blipFill>
                    <a:blip r:embed="rId15"/>
                    <a:srcRect l="11315" t="6970" r="28263" b="18119"/>
                    <a:stretch>
                      <a:fillRect/>
                    </a:stretch>
                  </pic:blipFill>
                  <pic:spPr>
                    <a:xfrm>
                      <a:off x="0" y="0"/>
                      <a:ext cx="3248660" cy="2265680"/>
                    </a:xfrm>
                    <a:prstGeom prst="rect">
                      <a:avLst/>
                    </a:prstGeom>
                  </pic:spPr>
                </pic:pic>
              </a:graphicData>
            </a:graphic>
          </wp:inline>
        </w:drawing>
      </w:r>
    </w:p>
    <w:p w14:paraId="02A267E3">
      <w:pPr>
        <w:spacing w:line="300" w:lineRule="auto"/>
        <w:ind w:left="403" w:firstLine="420"/>
        <w:jc w:val="center"/>
        <w:rPr>
          <w:sz w:val="24"/>
        </w:rPr>
      </w:pPr>
      <w:r>
        <w:rPr>
          <w:rFonts w:hint="eastAsia" w:ascii="黑体" w:hAnsi="黑体" w:eastAsia="黑体" w:cs="黑体"/>
          <w:sz w:val="21"/>
          <w:szCs w:val="21"/>
        </w:rPr>
        <w:t>图1-2 Mask2Former模型结构示意图</w:t>
      </w:r>
    </w:p>
    <w:p w14:paraId="5948A056">
      <w:pPr>
        <w:keepNext w:val="0"/>
        <w:keepLines w:val="0"/>
        <w:pageBreakBefore w:val="0"/>
        <w:widowControl w:val="0"/>
        <w:numPr>
          <w:ilvl w:val="1"/>
          <w:numId w:val="1"/>
        </w:numPr>
        <w:kinsoku/>
        <w:wordWrap/>
        <w:overflowPunct/>
        <w:topLinePunct w:val="0"/>
        <w:autoSpaceDE/>
        <w:autoSpaceDN/>
        <w:bidi w:val="0"/>
        <w:adjustRightInd/>
        <w:snapToGrid/>
        <w:spacing w:before="100" w:after="100"/>
        <w:ind w:left="0"/>
        <w:textAlignment w:val="auto"/>
        <w:outlineLvl w:val="1"/>
        <w:rPr>
          <w:rFonts w:eastAsia="黑体"/>
          <w:sz w:val="24"/>
        </w:rPr>
      </w:pPr>
      <w:bookmarkStart w:id="19" w:name="_Toc28827"/>
      <w:bookmarkStart w:id="20" w:name="_Toc1353"/>
      <w:bookmarkStart w:id="21" w:name="_Toc10374"/>
      <w:bookmarkStart w:id="22" w:name="_Toc4223"/>
      <w:bookmarkStart w:id="23" w:name="_Toc25980"/>
      <w:r>
        <w:rPr>
          <w:rFonts w:eastAsia="黑体"/>
          <w:b/>
          <w:bCs/>
          <w:sz w:val="28"/>
          <w:szCs w:val="28"/>
        </w:rPr>
        <w:t>自监督表征学习原理</w:t>
      </w:r>
      <w:bookmarkEnd w:id="19"/>
      <w:bookmarkEnd w:id="20"/>
      <w:bookmarkEnd w:id="21"/>
      <w:bookmarkEnd w:id="22"/>
      <w:bookmarkEnd w:id="23"/>
    </w:p>
    <w:p w14:paraId="523BEA6B">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在传统监督学习中，模型训练依赖大量带标签的数据。然而，在医学图像领域，高质量标注通常需要专业医生完成，成本高且获取困难，严重限制了模型性能的进一步提升。</w:t>
      </w:r>
      <w:r>
        <w:rPr>
          <w:rFonts w:hint="eastAsia"/>
          <w:sz w:val="24"/>
        </w:rPr>
        <w:t>在此背景下</w:t>
      </w:r>
      <w:r>
        <w:rPr>
          <w:sz w:val="24"/>
        </w:rPr>
        <w:t>，自监督学习（Self-Supervised Learning, SSL）应运而生，并展现出其独特的价值和重要性。</w:t>
      </w:r>
    </w:p>
    <w:p w14:paraId="5F9CE947">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自监督学习是一种无需大规模标注数据的学习方法，通过构造代理任务，模型可以从数据本身获取监督信号，从而学习有用的特征表征。其核心思想是通过构造“伪标签”或预训练任务，让模型在大量未标注数据上</w:t>
      </w:r>
      <w:r>
        <w:rPr>
          <w:rFonts w:hint="eastAsia"/>
          <w:sz w:val="24"/>
        </w:rPr>
        <w:t>自主</w:t>
      </w:r>
      <w:r>
        <w:rPr>
          <w:sz w:val="24"/>
        </w:rPr>
        <w:t>学习，从而自动发现并利用数据中的内在结构和规律</w:t>
      </w:r>
      <w:r>
        <w:rPr>
          <w:rFonts w:hint="eastAsia"/>
          <w:sz w:val="24"/>
          <w:lang w:val="en-US" w:eastAsia="zh-CN"/>
        </w:rPr>
        <w:t>[13]</w:t>
      </w:r>
      <w:r>
        <w:rPr>
          <w:sz w:val="24"/>
        </w:rPr>
        <w:t>。与监督学习不同，自监督学习不依赖外部标签，而是通过数据内部结构建立学习目标，从而实现特征提取能力的提升。在计算机视觉领域，自监督学习通常作为预训练阶段，用于学习通用视觉表征，随后在下游任务（如分类、检测、分割）中进行微调，从而显著提升模型性能和泛化能力。</w:t>
      </w:r>
    </w:p>
    <w:p w14:paraId="21AE43E7">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表征学习是一种机器学习方法，其核心目标在于从原始数据中提取出高效、低维且富含信息的特征表示。这些特征表示不仅能够有效捕捉数据的内在结构和关键属性，还能在保持数据重要信息的同时，去除冗余和噪声，从而便于后续模型的处理和理解</w:t>
      </w:r>
      <w:r>
        <w:rPr>
          <w:rFonts w:hint="eastAsia"/>
          <w:sz w:val="24"/>
          <w:lang w:val="en-US" w:eastAsia="zh-CN"/>
        </w:rPr>
        <w:t>[14]</w:t>
      </w:r>
      <w:r>
        <w:rPr>
          <w:sz w:val="24"/>
        </w:rPr>
        <w:t>。表征学习的目标是构建一种通用或任务特定的特征空间，使得在该空间中，数据能够以更加紧凑、有意义的形式被表示，进而提升模型在各种下游任务中的性能。</w:t>
      </w:r>
    </w:p>
    <w:p w14:paraId="356FB91B">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在上述基础上，自监督表征学习方法根据其学习机制的不同，通常可以分为对比学习、生成式</w:t>
      </w:r>
      <w:r>
        <w:rPr>
          <w:rFonts w:hint="eastAsia"/>
          <w:sz w:val="24"/>
        </w:rPr>
        <w:t>方法</w:t>
      </w:r>
      <w:r>
        <w:rPr>
          <w:sz w:val="24"/>
        </w:rPr>
        <w:t>以及自蒸馏学习等几类。</w:t>
      </w:r>
    </w:p>
    <w:p w14:paraId="1A1CFF87">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首先，对比学习（Contrastive Learning）是当前最为主流的方法之一，其核心思想是通过构造正样本对与负样本对，使模型学习区分不同数据之间的差异性</w:t>
      </w:r>
      <w:r>
        <w:rPr>
          <w:rFonts w:hint="eastAsia"/>
          <w:sz w:val="24"/>
          <w:lang w:val="en-US" w:eastAsia="zh-CN"/>
        </w:rPr>
        <w:t>[15]</w:t>
      </w:r>
      <w:r>
        <w:rPr>
          <w:sz w:val="24"/>
        </w:rPr>
        <w:t>。具体而言，通过对同一图像进行不同形式的数据增强（如裁剪、翻转、颜色扰动等）生成多个视图，这些视图构成正样本对，而来自不同图像的样本则构成负样本对。模型通过优化相似度函数，使正样本对在特征空间中距离更近，而负样本对距离更远，从而学习具有判别能力的特征表示。</w:t>
      </w:r>
    </w:p>
    <w:p w14:paraId="658392CA">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其次，生成式自监督方法（Generative Methods）主要通过重建任务来学习数据的内在结构</w:t>
      </w:r>
      <w:r>
        <w:rPr>
          <w:rFonts w:hint="eastAsia"/>
          <w:sz w:val="24"/>
          <w:lang w:val="en-US" w:eastAsia="zh-CN"/>
        </w:rPr>
        <w:t>[16]</w:t>
      </w:r>
      <w:r>
        <w:rPr>
          <w:sz w:val="24"/>
        </w:rPr>
        <w:t>。例如，掩码图像建模（Masked Image Modeling, MIM）通过随机遮挡输入图像的一部分区域，并要求模型恢复被遮挡的内容，从而迫使模型学习图像的全局语义信息与结构特征。这类方法在学习全局表示方面具有一定优势。</w:t>
      </w:r>
    </w:p>
    <w:p w14:paraId="03A34ACB">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近年来，自蒸馏方法（Self-Distillation）逐渐成为自监督学习的重要发展方向。该类方法通常采用教师－学生结构，通过对同一图像的不同增强视图进行一致性约束，使模型学习对数据增强具有不变性的特征表示。其中，教师网络通常通过学生网络参数的指数滑动平均（Exponential Moving Average, EMA）更新</w:t>
      </w:r>
      <w:r>
        <w:rPr>
          <w:rFonts w:hint="eastAsia"/>
          <w:sz w:val="24"/>
          <w:lang w:val="en-US" w:eastAsia="zh-CN"/>
        </w:rPr>
        <w:t>[17]</w:t>
      </w:r>
      <w:r>
        <w:rPr>
          <w:sz w:val="24"/>
        </w:rPr>
        <w:t>，从而提供更加稳定的学习目标。这种方法无需显式构造负样本，在训练稳定性和性能方面具有明显优势。</w:t>
      </w:r>
    </w:p>
    <w:p w14:paraId="2A790771">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在上述方法中，一个关键机制是多视图一致性学习。即对于同一输入图像，通过不同的数据增强方式生成多个视图，模型需要在特征空间中保持这些视图的一致性。这种一致性约束能够使模型学习到对旋转、尺度变化和颜色扰动等变换具有鲁棒性的特征表示，从而提升模型的泛化能力。</w:t>
      </w:r>
    </w:p>
    <w:p w14:paraId="001F4EA6">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然而，尽管自监督表征学习在图像分类等任务中取得了显著成果，其在医学图像分割等密集预测任务中的表现仍存在一定局限。这主要是因为大多数自监督方法更侧重于学习全局语义特征，而对局部空间结构的建模能力相对不足。在分割任务中，模型不仅需要理解整体语义信息，还需要精确刻画像素级别的边界与细节结构，例如病灶区域的形状、边缘以及纹理特征。因此，仅依赖全局特征往往会导致分割结果边界模糊或细节缺失。</w:t>
      </w:r>
    </w:p>
    <w:p w14:paraId="4C18EC8D">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针对这一问题，近年来的研究开始关注如何在自监督学习框架中引入局部特征约束，以提升模型在密集预测任务中的表现。例如，通过引入patch级别对比学习或掩码建模策略，可以增强模型对局部区域的表达能力，从而实现全局语义信息与局部结构信息的协同建模。</w:t>
      </w:r>
    </w:p>
    <w:p w14:paraId="1BC34DD5">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7337CA8B">
      <w:pPr>
        <w:keepNext w:val="0"/>
        <w:keepLines w:val="0"/>
        <w:pageBreakBefore w:val="0"/>
        <w:widowControl w:val="0"/>
        <w:numPr>
          <w:ilvl w:val="1"/>
          <w:numId w:val="1"/>
        </w:numPr>
        <w:kinsoku/>
        <w:wordWrap/>
        <w:overflowPunct/>
        <w:topLinePunct w:val="0"/>
        <w:autoSpaceDE/>
        <w:autoSpaceDN/>
        <w:bidi w:val="0"/>
        <w:adjustRightInd/>
        <w:snapToGrid/>
        <w:spacing w:before="100" w:after="100"/>
        <w:ind w:left="0"/>
        <w:textAlignment w:val="auto"/>
        <w:outlineLvl w:val="1"/>
        <w:rPr>
          <w:rFonts w:eastAsia="黑体"/>
          <w:b/>
          <w:bCs/>
          <w:sz w:val="28"/>
          <w:szCs w:val="28"/>
        </w:rPr>
      </w:pPr>
      <w:bookmarkStart w:id="24" w:name="_Toc13549"/>
      <w:bookmarkStart w:id="25" w:name="_Toc9438"/>
      <w:bookmarkStart w:id="26" w:name="_Toc15302"/>
      <w:r>
        <w:rPr>
          <w:rFonts w:eastAsia="黑体"/>
          <w:b/>
          <w:bCs/>
          <w:sz w:val="28"/>
          <w:szCs w:val="28"/>
        </w:rPr>
        <w:t>本文研究内容</w:t>
      </w:r>
      <w:bookmarkEnd w:id="24"/>
      <w:bookmarkEnd w:id="25"/>
      <w:bookmarkEnd w:id="26"/>
    </w:p>
    <w:p w14:paraId="49CB944E">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hint="eastAsia"/>
          <w:sz w:val="24"/>
        </w:rPr>
      </w:pPr>
      <w:r>
        <w:rPr>
          <w:rFonts w:hint="eastAsia"/>
          <w:sz w:val="24"/>
        </w:rPr>
        <w:t>针对医学图像中标注数据稀缺，以及皮肤病分割任务对精细特征表达要求较高的问题，本文围绕“自监督表征学习与掩码分割模型融合”这一核心思路，开展了皮肤病图像精细化分割方法的研究。本文的主要研究内容包含以下五个方面：</w:t>
      </w:r>
    </w:p>
    <w:p w14:paraId="1D936735">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hint="eastAsia"/>
          <w:sz w:val="24"/>
        </w:rPr>
      </w:pPr>
    </w:p>
    <w:p w14:paraId="6F9FE97A">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hint="eastAsia"/>
          <w:b/>
          <w:bCs/>
          <w:sz w:val="24"/>
        </w:rPr>
      </w:pPr>
      <w:r>
        <w:rPr>
          <w:rFonts w:hint="eastAsia"/>
          <w:b/>
          <w:bCs/>
          <w:sz w:val="24"/>
        </w:rPr>
        <w:t>1. 构建基于自监督预训练的强泛化特征提取底座</w:t>
      </w:r>
    </w:p>
    <w:p w14:paraId="47AB0CCF">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hint="eastAsia"/>
          <w:sz w:val="24"/>
        </w:rPr>
      </w:pPr>
      <w:r>
        <w:rPr>
          <w:rFonts w:hint="eastAsia"/>
          <w:sz w:val="24"/>
        </w:rPr>
        <w:t xml:space="preserve">针对传统全监督学习高度依赖专家标注的痛点，本文引入领域自监督学习范式。通过在大规模无标注皮肤镜数据集（如 </w:t>
      </w:r>
      <w:r>
        <w:rPr>
          <w:rFonts w:hint="eastAsia"/>
          <w:sz w:val="24"/>
          <w:lang w:val="en-US" w:eastAsia="zh-CN"/>
        </w:rPr>
        <w:t>ISIC系列数据集[18]</w:t>
      </w:r>
      <w:r>
        <w:rPr>
          <w:rFonts w:hint="eastAsia"/>
          <w:sz w:val="24"/>
        </w:rPr>
        <w:t>）上进行预训练，利用多视图增强与稠密一致性约束，使模型在零标签条件下学习到具有强领域判别性的视觉表征，为下游密集预测任务奠定高质量、包含丰富语义的特征基础。</w:t>
      </w:r>
    </w:p>
    <w:p w14:paraId="2C490721">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hint="eastAsia"/>
          <w:sz w:val="24"/>
        </w:rPr>
      </w:pPr>
    </w:p>
    <w:p w14:paraId="5EA19E0B">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hint="eastAsia"/>
          <w:b/>
          <w:bCs/>
          <w:sz w:val="24"/>
        </w:rPr>
      </w:pPr>
      <w:r>
        <w:rPr>
          <w:rFonts w:hint="eastAsia"/>
          <w:b/>
          <w:bCs/>
          <w:sz w:val="24"/>
        </w:rPr>
        <w:t>2. 设计基于 Mask2Former 的病灶精细化分割架构</w:t>
      </w:r>
    </w:p>
    <w:p w14:paraId="31D7CE00">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hint="eastAsia"/>
          <w:sz w:val="24"/>
        </w:rPr>
      </w:pPr>
      <w:r>
        <w:rPr>
          <w:rFonts w:hint="eastAsia"/>
          <w:sz w:val="24"/>
        </w:rPr>
        <w:t>面对皮肤病灶形态复杂、边缘对比度低及边界模糊等临床挑战，本文采用先进的 Mask2Former 作为核心分割框架。该架构摒弃了传统的逐像素分类范式，通过 Transformer 解码器中的查询（Query）机制与掩码预测技术进行结构化对象建模，从而在保持预训练底座参数冻结（Frozen）的条件下，更精准地定位病灶区域并刻画其复杂的拓扑结构。</w:t>
      </w:r>
    </w:p>
    <w:p w14:paraId="58DE0DA9">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hint="eastAsia"/>
          <w:sz w:val="24"/>
        </w:rPr>
      </w:pPr>
    </w:p>
    <w:p w14:paraId="74B4715C">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hint="eastAsia"/>
          <w:sz w:val="24"/>
        </w:rPr>
      </w:pPr>
      <w:r>
        <w:rPr>
          <w:rFonts w:hint="eastAsia"/>
          <w:b/>
          <w:bCs/>
          <w:sz w:val="24"/>
        </w:rPr>
        <w:t>3. 提出融合全局语义与局部细节的特征挖掘策略</w:t>
      </w:r>
    </w:p>
    <w:p w14:paraId="2677798D">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hint="eastAsia"/>
          <w:sz w:val="24"/>
        </w:rPr>
      </w:pPr>
      <w:r>
        <w:rPr>
          <w:rFonts w:hint="eastAsia"/>
          <w:sz w:val="24"/>
        </w:rPr>
        <w:t>针对自监督底座在全局语义表征占优，但在局部空间细节感知上存在潜在不足的问题，本文改进了解码器的特征融合路径。该策略旨在强化模型对局部微观结构的空间建模能力，使其在确保全局特征一致性的同时，能够敏锐捕捉病灶边缘的细微渐变与过渡区域，从而实现真正意义上的精细化分割。</w:t>
      </w:r>
    </w:p>
    <w:p w14:paraId="57B0F828">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hint="eastAsia"/>
          <w:sz w:val="24"/>
        </w:rPr>
      </w:pPr>
    </w:p>
    <w:p w14:paraId="73E4636D">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hint="eastAsia"/>
          <w:b/>
          <w:bCs/>
          <w:sz w:val="24"/>
        </w:rPr>
      </w:pPr>
      <w:r>
        <w:rPr>
          <w:rFonts w:hint="eastAsia"/>
          <w:b/>
          <w:bCs/>
          <w:sz w:val="24"/>
        </w:rPr>
        <w:t>4. 制定两阶段训练范式与多目标联合优化体系</w:t>
      </w:r>
    </w:p>
    <w:p w14:paraId="48B6FCCF">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hint="eastAsia"/>
          <w:sz w:val="24"/>
        </w:rPr>
      </w:pPr>
      <w:r>
        <w:rPr>
          <w:rFonts w:hint="eastAsia"/>
          <w:sz w:val="24"/>
        </w:rPr>
        <w:t>本文设计了涵盖“自监督特征探测”与“下游解码器适配”的两阶段训练流程。在此基础上，结合二分图匹配损失（Bipartite Matching Loss）与掩码预测分类损失等，构建了多目标联合优化函数。该体系有效提升了模型在冻结主干网络（Frozen Backbone）模式下，面对复杂皮肤病变时的训练稳定性与收敛精度。</w:t>
      </w:r>
    </w:p>
    <w:p w14:paraId="5C0EE4AF">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hint="eastAsia"/>
          <w:sz w:val="24"/>
        </w:rPr>
      </w:pPr>
    </w:p>
    <w:p w14:paraId="04DBCB0A">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hint="eastAsia"/>
          <w:b/>
          <w:bCs/>
          <w:sz w:val="24"/>
        </w:rPr>
      </w:pPr>
      <w:r>
        <w:rPr>
          <w:rFonts w:hint="eastAsia"/>
          <w:b/>
          <w:bCs/>
          <w:sz w:val="24"/>
        </w:rPr>
        <w:t>5. 开展多维度实验验证与模型可解释性分析</w:t>
      </w:r>
    </w:p>
    <w:p w14:paraId="6BB27A3B">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rFonts w:hint="eastAsia"/>
          <w:sz w:val="24"/>
        </w:rPr>
        <w:t>在 HAM10000 公开皮肤病数据集上对所提方法进行全面验证。通过与当前主流的全监督及自监督分割模型进行定量对比，评估模型在 Dice、Jaccard 等核心评价指标上的领先性。同时，设计</w:t>
      </w:r>
      <w:r>
        <w:rPr>
          <w:rFonts w:hint="eastAsia"/>
          <w:sz w:val="24"/>
          <w:lang w:eastAsia="zh-CN"/>
        </w:rPr>
        <w:t>翔实</w:t>
      </w:r>
      <w:r>
        <w:rPr>
          <w:rFonts w:hint="eastAsia"/>
          <w:sz w:val="24"/>
        </w:rPr>
        <w:t>的消融实验探究各关键模块的贡献度，并借助注意力机制可视化（Attention Maps）与分割边界对比图，直观剖析模型在复杂病灶场景下的精细化推理解释性。</w:t>
      </w:r>
    </w:p>
    <w:p w14:paraId="33486545">
      <w:pPr>
        <w:keepNext w:val="0"/>
        <w:keepLines w:val="0"/>
        <w:pageBreakBefore w:val="0"/>
        <w:widowControl w:val="0"/>
        <w:numPr>
          <w:ilvl w:val="1"/>
          <w:numId w:val="1"/>
        </w:numPr>
        <w:kinsoku/>
        <w:wordWrap/>
        <w:overflowPunct/>
        <w:topLinePunct w:val="0"/>
        <w:autoSpaceDE/>
        <w:autoSpaceDN/>
        <w:bidi w:val="0"/>
        <w:adjustRightInd/>
        <w:snapToGrid/>
        <w:spacing w:before="100" w:after="100"/>
        <w:ind w:left="0"/>
        <w:textAlignment w:val="auto"/>
        <w:outlineLvl w:val="1"/>
        <w:rPr>
          <w:rFonts w:eastAsia="黑体"/>
          <w:b/>
          <w:bCs/>
          <w:sz w:val="28"/>
          <w:szCs w:val="28"/>
        </w:rPr>
      </w:pPr>
      <w:bookmarkStart w:id="27" w:name="_Toc6744"/>
      <w:bookmarkStart w:id="28" w:name="_Toc26582"/>
      <w:bookmarkStart w:id="29" w:name="_Toc4384"/>
      <w:bookmarkStart w:id="30" w:name="_Toc7862"/>
      <w:bookmarkStart w:id="31" w:name="_Toc31845"/>
      <w:r>
        <w:rPr>
          <w:rFonts w:eastAsia="黑体"/>
          <w:b/>
          <w:bCs/>
          <w:sz w:val="28"/>
          <w:szCs w:val="28"/>
        </w:rPr>
        <w:t>本章小结</w:t>
      </w:r>
      <w:bookmarkEnd w:id="27"/>
      <w:bookmarkEnd w:id="28"/>
      <w:bookmarkEnd w:id="29"/>
      <w:bookmarkEnd w:id="30"/>
      <w:bookmarkEnd w:id="31"/>
    </w:p>
    <w:p w14:paraId="74020003">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 xml:space="preserve">本章首先介绍了皮肤病早期诊断的临床背景及其对精细化分割算法的迫切需求，深入分析了皮肤镜图像中病灶边缘模糊、背景干扰复杂等特性带来的挑战。随后，针对当前医学图像分割中存在的专家标注数据稀缺、通用预训练模型特征判别力不足等痛点，详细阐述了自监督表征学习与 Mask2Former 掩码预测框架的基本原理。通过分析证明了利用领域自监督预训练构建“底座模型”，并配合结构化解码器实现精细化预测的技术可行性。最后，明确了本文的研究内容与组织架构，提出将通过构建领域自监督特征提取底座、设计精细化分割解码架构以及优化多目标损失体系，探索在冻结主干网络前提下的高性能皮肤病灶分割方案。本章的研究工作为后续章节中模型的详细设计与实验验证奠定了理论基础。 </w:t>
      </w:r>
    </w:p>
    <w:p w14:paraId="4ED77831">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34AE0131">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1FC173BF">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77B4E50A">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76738AF5">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19D5E4CD">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40C20D3F">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2DA954A6">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7678A836">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2D1A415D">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52571CE8">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0FE86AFD">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7427D9B7">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47ECBA3C">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416F0C28">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7A38898B">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262A1064">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7FB3D83B">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07DF4B5F">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79520407">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3C3134DB">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50B15810">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6EC8AE75">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0ED5D67D">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207AC0AC">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4B3BB576">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0BC76D27">
      <w:pPr>
        <w:keepNext w:val="0"/>
        <w:keepLines w:val="0"/>
        <w:pageBreakBefore w:val="0"/>
        <w:widowControl w:val="0"/>
        <w:numPr>
          <w:ilvl w:val="0"/>
          <w:numId w:val="0"/>
        </w:numPr>
        <w:kinsoku/>
        <w:wordWrap/>
        <w:overflowPunct/>
        <w:topLinePunct w:val="0"/>
        <w:autoSpaceDE/>
        <w:autoSpaceDN/>
        <w:bidi w:val="0"/>
        <w:adjustRightInd/>
        <w:snapToGrid/>
        <w:spacing w:before="160" w:after="100"/>
        <w:jc w:val="center"/>
        <w:textAlignment w:val="auto"/>
        <w:outlineLvl w:val="0"/>
        <w:rPr>
          <w:rFonts w:eastAsia="黑体"/>
          <w:b/>
          <w:bCs/>
          <w:sz w:val="32"/>
          <w:szCs w:val="32"/>
        </w:rPr>
      </w:pPr>
      <w:bookmarkStart w:id="32" w:name="_Toc22611"/>
      <w:bookmarkStart w:id="33" w:name="_Toc28931"/>
      <w:bookmarkStart w:id="34" w:name="_Toc11260"/>
      <w:bookmarkStart w:id="35" w:name="_Toc10975"/>
      <w:bookmarkStart w:id="36" w:name="_Toc1215"/>
      <w:r>
        <w:rPr>
          <w:rFonts w:hint="eastAsia" w:eastAsia="黑体"/>
          <w:b/>
          <w:bCs/>
          <w:sz w:val="32"/>
          <w:szCs w:val="32"/>
          <w:lang w:val="en-US" w:eastAsia="zh-CN"/>
        </w:rPr>
        <w:t xml:space="preserve">2 </w:t>
      </w:r>
      <w:r>
        <w:rPr>
          <w:rFonts w:eastAsia="黑体"/>
          <w:b/>
          <w:bCs/>
          <w:sz w:val="32"/>
          <w:szCs w:val="32"/>
        </w:rPr>
        <w:t>精细化皮肤病分割模型设计</w:t>
      </w:r>
      <w:bookmarkEnd w:id="32"/>
      <w:bookmarkEnd w:id="33"/>
      <w:bookmarkEnd w:id="34"/>
      <w:bookmarkEnd w:id="35"/>
      <w:bookmarkEnd w:id="36"/>
    </w:p>
    <w:p w14:paraId="7CB32098">
      <w:pPr>
        <w:pStyle w:val="3"/>
        <w:keepNext/>
        <w:keepLines/>
        <w:pageBreakBefore w:val="0"/>
        <w:widowControl w:val="0"/>
        <w:kinsoku/>
        <w:wordWrap/>
        <w:overflowPunct/>
        <w:topLinePunct w:val="0"/>
        <w:autoSpaceDE/>
        <w:autoSpaceDN/>
        <w:bidi w:val="0"/>
        <w:adjustRightInd/>
        <w:snapToGrid/>
        <w:spacing w:before="140" w:after="140" w:line="416" w:lineRule="auto"/>
        <w:textAlignment w:val="auto"/>
        <w:rPr>
          <w:rFonts w:hint="default" w:ascii="Times New Roman" w:hAnsi="Times New Roman" w:cs="Times New Roman"/>
          <w:sz w:val="28"/>
          <w:szCs w:val="28"/>
        </w:rPr>
      </w:pPr>
      <w:bookmarkStart w:id="37" w:name="_Toc31814"/>
      <w:bookmarkStart w:id="38" w:name="_Toc18899"/>
      <w:bookmarkStart w:id="39" w:name="_Toc24729"/>
      <w:bookmarkStart w:id="40" w:name="_Toc3835"/>
      <w:r>
        <w:rPr>
          <w:rFonts w:hint="default" w:ascii="Times New Roman" w:hAnsi="Times New Roman" w:cs="Times New Roman"/>
          <w:sz w:val="28"/>
          <w:szCs w:val="28"/>
        </w:rPr>
        <w:t>2.1 模型总体架构设计</w:t>
      </w:r>
      <w:bookmarkEnd w:id="37"/>
      <w:bookmarkEnd w:id="38"/>
      <w:bookmarkEnd w:id="39"/>
      <w:bookmarkEnd w:id="40"/>
    </w:p>
    <w:p w14:paraId="7EF66698">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针对皮肤病图像分割任务中标注数据稀缺以及病灶边界高度模糊的挑战，本文设计了一种基于领域自监督预训练底座与掩码驱动（Mask-driven）架构的精细化分割模型。如图 2-1 所示 ，该架构主要由冻结的自监督特征提取底座（Frozen Backbone）与基于 Mask2Former 的结构化分割解码器（Structured Decoder）两部分组成。</w:t>
      </w:r>
    </w:p>
    <w:p w14:paraId="4DCACD54">
      <w:pPr>
        <w:keepNext w:val="0"/>
        <w:keepLines w:val="0"/>
        <w:pageBreakBefore w:val="0"/>
        <w:widowControl w:val="0"/>
        <w:kinsoku/>
        <w:wordWrap/>
        <w:overflowPunct/>
        <w:topLinePunct w:val="0"/>
        <w:autoSpaceDE/>
        <w:autoSpaceDN/>
        <w:bidi w:val="0"/>
        <w:adjustRightInd/>
        <w:snapToGrid/>
        <w:spacing w:before="100" w:after="100" w:line="240" w:lineRule="auto"/>
        <w:textAlignment w:val="auto"/>
        <w:outlineLvl w:val="2"/>
        <w:rPr>
          <w:rFonts w:eastAsia="黑体"/>
          <w:b/>
          <w:bCs/>
          <w:sz w:val="24"/>
          <w:szCs w:val="24"/>
        </w:rPr>
      </w:pPr>
      <w:bookmarkStart w:id="41" w:name="_Toc26838"/>
      <w:bookmarkStart w:id="42" w:name="_Toc16542"/>
      <w:r>
        <w:rPr>
          <w:rStyle w:val="28"/>
          <w:rFonts w:hint="eastAsia"/>
          <w:sz w:val="24"/>
          <w:szCs w:val="24"/>
          <w:lang w:val="en-US" w:eastAsia="zh-CN"/>
        </w:rPr>
        <w:t>2</w:t>
      </w:r>
      <w:r>
        <w:rPr>
          <w:rStyle w:val="28"/>
          <w:rFonts w:hint="eastAsia"/>
          <w:sz w:val="24"/>
          <w:szCs w:val="24"/>
        </w:rPr>
        <w:t>.1.1</w:t>
      </w:r>
      <w:r>
        <w:rPr>
          <w:rFonts w:hint="eastAsia" w:ascii="黑体" w:hAnsi="黑体" w:eastAsia="黑体" w:cs="黑体"/>
          <w:b/>
          <w:bCs/>
          <w:sz w:val="24"/>
          <w:szCs w:val="24"/>
        </w:rPr>
        <w:t xml:space="preserve"> 自监督特征提取底座（Encoder）</w:t>
      </w:r>
      <w:bookmarkEnd w:id="41"/>
      <w:bookmarkEnd w:id="42"/>
    </w:p>
    <w:p w14:paraId="7833EFF2">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本模型的核心在于引入了在</w:t>
      </w:r>
      <w:r>
        <w:rPr>
          <w:rFonts w:hint="eastAsia"/>
          <w:sz w:val="24"/>
        </w:rPr>
        <w:t>大规模</w:t>
      </w:r>
      <w:r>
        <w:rPr>
          <w:sz w:val="24"/>
        </w:rPr>
        <w:t xml:space="preserve">未标注皮肤镜图像上预训练的视觉底座。该底座基于自监督学习机制，通过多视图一致性约束与稠密对比学习，在无标签场景下构建了具有强判别性的领域特征空间。在输入阶段，原始皮肤镜图像经预处理后输入该底座，利用视觉 Transformer（ViT）的全局自注意力机制，将图像划分为序列化的 Patch 并提取多尺度的语义特征。与传统 ImageNet 预训练的 CNN 相比，该底座能够更好地捕捉长距离依赖关系，并生成具有高度空间一致性的特征图，为精细化分割提供了丰富的语义底色。  </w:t>
      </w:r>
    </w:p>
    <w:p w14:paraId="7B890E59">
      <w:pPr>
        <w:keepNext w:val="0"/>
        <w:keepLines w:val="0"/>
        <w:pageBreakBefore w:val="0"/>
        <w:widowControl w:val="0"/>
        <w:kinsoku/>
        <w:wordWrap/>
        <w:overflowPunct/>
        <w:topLinePunct w:val="0"/>
        <w:autoSpaceDE/>
        <w:autoSpaceDN/>
        <w:bidi w:val="0"/>
        <w:adjustRightInd/>
        <w:snapToGrid/>
        <w:spacing w:before="100" w:after="100" w:line="240" w:lineRule="auto"/>
        <w:textAlignment w:val="auto"/>
        <w:outlineLvl w:val="2"/>
        <w:rPr>
          <w:rFonts w:hint="eastAsia" w:ascii="黑体" w:hAnsi="黑体" w:eastAsia="黑体" w:cs="黑体"/>
          <w:b/>
          <w:bCs/>
          <w:sz w:val="24"/>
          <w:szCs w:val="24"/>
        </w:rPr>
      </w:pPr>
      <w:bookmarkStart w:id="43" w:name="_Toc30183"/>
      <w:bookmarkStart w:id="44" w:name="_Toc19492"/>
      <w:r>
        <w:rPr>
          <w:rStyle w:val="28"/>
          <w:rFonts w:hint="default" w:ascii="Times New Roman" w:hAnsi="Times New Roman" w:eastAsia="黑体" w:cs="Times New Roman"/>
          <w:sz w:val="24"/>
          <w:szCs w:val="24"/>
          <w:lang w:val="en-US" w:eastAsia="zh-CN"/>
        </w:rPr>
        <w:t>2.1.2 掩码驱动的精细化分割模块（Decoder）</w:t>
      </w:r>
      <w:bookmarkEnd w:id="43"/>
      <w:bookmarkEnd w:id="44"/>
    </w:p>
    <w:p w14:paraId="53F85ADA">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为了充分挖掘底座的特征潜力，本文采用 Mask2Former 作为核心分割解码框架。不同于传统的像素级分类方法，该模块引入了一组可学习的掩码查询向量（Mask Queries），通过 Transformer 解码器在全局范围内与底座特征进行交互。每个查询向量负责感知特定的候选区域，通过掩码注意力机制（Masked Attention）将</w:t>
      </w:r>
      <w:r>
        <w:rPr>
          <w:rFonts w:hint="eastAsia"/>
          <w:sz w:val="24"/>
        </w:rPr>
        <w:t>注意力</w:t>
      </w:r>
      <w:r>
        <w:rPr>
          <w:sz w:val="24"/>
        </w:rPr>
        <w:t xml:space="preserve">集中在病灶及其边缘区域，从而实现对复杂病灶拓扑结构的精细化建模。  </w:t>
      </w:r>
    </w:p>
    <w:p w14:paraId="79C23409">
      <w:pPr>
        <w:keepNext w:val="0"/>
        <w:keepLines w:val="0"/>
        <w:pageBreakBefore w:val="0"/>
        <w:widowControl w:val="0"/>
        <w:kinsoku/>
        <w:wordWrap/>
        <w:overflowPunct/>
        <w:topLinePunct w:val="0"/>
        <w:autoSpaceDE/>
        <w:autoSpaceDN/>
        <w:bidi w:val="0"/>
        <w:adjustRightInd/>
        <w:snapToGrid/>
        <w:spacing w:before="100" w:after="100" w:line="240" w:lineRule="auto"/>
        <w:textAlignment w:val="auto"/>
        <w:outlineLvl w:val="2"/>
        <w:rPr>
          <w:rStyle w:val="28"/>
          <w:rFonts w:hint="eastAsia" w:ascii="Times New Roman" w:hAnsi="Times New Roman" w:eastAsia="黑体" w:cs="Times New Roman"/>
          <w:sz w:val="24"/>
          <w:szCs w:val="24"/>
          <w:lang w:val="en-US" w:eastAsia="zh-CN"/>
        </w:rPr>
      </w:pPr>
      <w:bookmarkStart w:id="45" w:name="_Toc653"/>
      <w:bookmarkStart w:id="46" w:name="_Toc21493"/>
      <w:r>
        <w:rPr>
          <w:rStyle w:val="28"/>
          <w:rFonts w:hint="eastAsia" w:ascii="Times New Roman" w:hAnsi="Times New Roman" w:eastAsia="黑体" w:cs="Times New Roman"/>
          <w:sz w:val="24"/>
          <w:szCs w:val="24"/>
          <w:lang w:val="en-US" w:eastAsia="zh-CN"/>
        </w:rPr>
        <w:t>2.1.3 两阶段协同训练策略</w:t>
      </w:r>
      <w:bookmarkEnd w:id="45"/>
      <w:bookmarkEnd w:id="46"/>
    </w:p>
    <w:p w14:paraId="2A532B1E">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模型遵循“领域预训练 + 任务适配”的高效训练逻辑：预训练阶段利用大规模无标注皮肤镜数据集（如 HAM10000 等）训练自监督底座，固化其对皮肤领域纹理、颜色及形态规律的</w:t>
      </w:r>
      <w:r>
        <w:rPr>
          <w:rFonts w:hint="eastAsia"/>
          <w:sz w:val="24"/>
        </w:rPr>
        <w:t>表征</w:t>
      </w:r>
      <w:r>
        <w:rPr>
          <w:sz w:val="24"/>
        </w:rPr>
        <w:t>能力。 任务适配阶段在下游带标注数据集上，保持底座参数冻结（Frozen），仅针对分割解码器进行微调。这种策略通过参数高效（</w:t>
      </w:r>
      <w:r>
        <w:rPr>
          <w:rFonts w:hint="eastAsia"/>
          <w:sz w:val="24"/>
        </w:rPr>
        <w:t>p</w:t>
      </w:r>
      <w:r>
        <w:rPr>
          <w:sz w:val="24"/>
        </w:rPr>
        <w:t>arameter-efficient）的适配方案，不仅有效缓解了医学影像标注短缺的问题，还通过结构化预测机制显著提升了模型对病灶边缘细节的刻画能力，实现了全局语义信息与局部细粒度结构的协同建模。</w:t>
      </w:r>
    </w:p>
    <w:p w14:paraId="367B8E68">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eastAsia="宋体"/>
          <w:b/>
          <w:bCs/>
          <w:sz w:val="24"/>
          <w:lang w:eastAsia="zh-CN"/>
        </w:rPr>
      </w:pPr>
      <w:r>
        <w:rPr>
          <w:rFonts w:hint="eastAsia" w:eastAsia="宋体"/>
          <w:b/>
          <w:bCs/>
          <w:sz w:val="24"/>
          <w:lang w:eastAsia="zh-CN"/>
        </w:rPr>
        <w:drawing>
          <wp:inline distT="0" distB="0" distL="114300" distR="114300">
            <wp:extent cx="4883785" cy="2369820"/>
            <wp:effectExtent l="0" t="0" r="5715" b="5080"/>
            <wp:docPr id="5" name="图片 5" descr="毕业论文作图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毕业论文作图_02"/>
                    <pic:cNvPicPr>
                      <a:picLocks noChangeAspect="1"/>
                    </pic:cNvPicPr>
                  </pic:nvPicPr>
                  <pic:blipFill>
                    <a:blip r:embed="rId16"/>
                    <a:srcRect t="3821" b="9931"/>
                    <a:stretch>
                      <a:fillRect/>
                    </a:stretch>
                  </pic:blipFill>
                  <pic:spPr>
                    <a:xfrm>
                      <a:off x="0" y="0"/>
                      <a:ext cx="4883785" cy="2369820"/>
                    </a:xfrm>
                    <a:prstGeom prst="rect">
                      <a:avLst/>
                    </a:prstGeom>
                  </pic:spPr>
                </pic:pic>
              </a:graphicData>
            </a:graphic>
          </wp:inline>
        </w:drawing>
      </w:r>
    </w:p>
    <w:p w14:paraId="3D130911">
      <w:pPr>
        <w:keepNext w:val="0"/>
        <w:keepLines w:val="0"/>
        <w:pageBreakBefore w:val="0"/>
        <w:widowControl w:val="0"/>
        <w:kinsoku/>
        <w:wordWrap/>
        <w:overflowPunct/>
        <w:topLinePunct w:val="0"/>
        <w:autoSpaceDE/>
        <w:autoSpaceDN/>
        <w:bidi w:val="0"/>
        <w:adjustRightInd/>
        <w:snapToGrid/>
        <w:spacing w:line="360" w:lineRule="auto"/>
        <w:ind w:left="0" w:firstLine="420"/>
        <w:jc w:val="center"/>
        <w:textAlignment w:val="auto"/>
        <w:rPr>
          <w:rFonts w:hint="eastAsia" w:ascii="黑体" w:hAnsi="黑体" w:eastAsia="黑体" w:cs="黑体"/>
          <w:sz w:val="21"/>
          <w:szCs w:val="21"/>
        </w:rPr>
      </w:pPr>
      <w:r>
        <w:rPr>
          <w:rFonts w:hint="eastAsia" w:ascii="黑体" w:hAnsi="黑体" w:eastAsia="黑体" w:cs="黑体"/>
          <w:sz w:val="21"/>
          <w:szCs w:val="21"/>
        </w:rPr>
        <w:t>图2-1 模型架构示意图</w:t>
      </w:r>
    </w:p>
    <w:p w14:paraId="1E4FB07D">
      <w:pPr>
        <w:pStyle w:val="3"/>
        <w:keepNext/>
        <w:keepLines/>
        <w:pageBreakBefore w:val="0"/>
        <w:widowControl w:val="0"/>
        <w:kinsoku/>
        <w:wordWrap/>
        <w:overflowPunct/>
        <w:topLinePunct w:val="0"/>
        <w:autoSpaceDE/>
        <w:autoSpaceDN/>
        <w:bidi w:val="0"/>
        <w:adjustRightInd/>
        <w:snapToGrid/>
        <w:spacing w:before="140" w:after="140" w:line="416" w:lineRule="auto"/>
        <w:textAlignment w:val="auto"/>
        <w:rPr>
          <w:rFonts w:hint="default" w:ascii="Times New Roman" w:hAnsi="Times New Roman" w:cs="Times New Roman"/>
          <w:sz w:val="28"/>
          <w:szCs w:val="28"/>
        </w:rPr>
      </w:pPr>
      <w:bookmarkStart w:id="47" w:name="_Toc3776"/>
      <w:bookmarkStart w:id="48" w:name="_Toc4478"/>
      <w:bookmarkStart w:id="49" w:name="_Toc5159"/>
      <w:bookmarkStart w:id="50" w:name="_Toc23114"/>
      <w:r>
        <w:rPr>
          <w:rFonts w:hint="default" w:ascii="Times New Roman" w:hAnsi="Times New Roman" w:cs="Times New Roman"/>
          <w:sz w:val="28"/>
          <w:szCs w:val="28"/>
        </w:rPr>
        <w:t>2.2 自监督预训练底座的特征提取</w:t>
      </w:r>
      <w:bookmarkEnd w:id="47"/>
      <w:bookmarkEnd w:id="48"/>
      <w:bookmarkEnd w:id="49"/>
      <w:bookmarkEnd w:id="50"/>
    </w:p>
    <w:p w14:paraId="723260AE">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针对医学影像中高质量标注匮乏及病灶特征复杂的挑战，本文引入领域自监督预训练方法构建特征提取底座。该底座旨在通过大规模未标注皮肤镜图像学习具有高度判别性和空间一致性的视觉表征，为下游分割任务提供稳健的特征支持。</w:t>
      </w:r>
    </w:p>
    <w:p w14:paraId="11B3F909">
      <w:pPr>
        <w:keepNext w:val="0"/>
        <w:keepLines w:val="0"/>
        <w:pageBreakBefore w:val="0"/>
        <w:widowControl w:val="0"/>
        <w:kinsoku/>
        <w:wordWrap/>
        <w:overflowPunct/>
        <w:topLinePunct w:val="0"/>
        <w:autoSpaceDE/>
        <w:autoSpaceDN/>
        <w:bidi w:val="0"/>
        <w:adjustRightInd/>
        <w:snapToGrid/>
        <w:spacing w:before="100" w:after="100" w:line="360" w:lineRule="auto"/>
        <w:textAlignment w:val="auto"/>
        <w:outlineLvl w:val="2"/>
        <w:rPr>
          <w:rFonts w:hint="default" w:ascii="Times New Roman" w:hAnsi="Times New Roman" w:eastAsia="黑体" w:cs="Times New Roman"/>
          <w:b/>
          <w:bCs/>
          <w:sz w:val="24"/>
          <w:szCs w:val="24"/>
        </w:rPr>
      </w:pPr>
      <w:bookmarkStart w:id="51" w:name="_Toc5294"/>
      <w:bookmarkStart w:id="52" w:name="_Toc22303"/>
      <w:r>
        <w:rPr>
          <w:rFonts w:hint="default" w:ascii="Times New Roman" w:hAnsi="Times New Roman" w:eastAsia="黑体" w:cs="Times New Roman"/>
          <w:b/>
          <w:bCs/>
          <w:sz w:val="24"/>
          <w:szCs w:val="24"/>
        </w:rPr>
        <w:t>2.2.1 自监督自蒸馏预训练机制</w:t>
      </w:r>
      <w:bookmarkEnd w:id="51"/>
      <w:bookmarkEnd w:id="52"/>
    </w:p>
    <w:p w14:paraId="1390B2A5">
      <w:pPr>
        <w:keepNext w:val="0"/>
        <w:keepLines w:val="0"/>
        <w:pageBreakBefore w:val="0"/>
        <w:widowControl w:val="0"/>
        <w:kinsoku/>
        <w:wordWrap/>
        <w:overflowPunct/>
        <w:topLinePunct w:val="0"/>
        <w:autoSpaceDE/>
        <w:autoSpaceDN/>
        <w:bidi w:val="0"/>
        <w:adjustRightInd/>
        <w:snapToGrid/>
        <w:spacing w:before="235" w:beforeLines="75" w:after="468" w:afterLines="150" w:line="360" w:lineRule="auto"/>
        <w:ind w:left="0" w:firstLine="420"/>
        <w:textAlignment w:val="auto"/>
        <w:rPr>
          <w:rFonts w:hint="eastAsia"/>
          <w:sz w:val="24"/>
        </w:rPr>
      </w:pPr>
      <w:r>
        <w:rPr>
          <w:sz w:val="24"/>
        </w:rPr>
        <w:t xml:space="preserve">预训练阶段采用基于自蒸馏机制的自监督学习架构。模型由结构相同的学生网络（Student）与教师网络（Teacher）组成。对于输入的同一张皮肤镜图像，通过不同的随机数据增强操作构造多个视图（Global and Local Views），并分别输入两个网络中。模型通过最小化两个网络输出表征之间的交叉熵损失，实现特征的一致性学习。  教师网络的参数 </w:t>
      </w:r>
      <m:oMath>
        <m:sSub>
          <m:sSubPr>
            <m:ctrlPr>
              <w:rPr>
                <w:rFonts w:ascii="Cambria Math" w:hAnsi="Cambria Math"/>
                <w:sz w:val="24"/>
              </w:rPr>
            </m:ctrlPr>
          </m:sSubPr>
          <m:e>
            <m:r>
              <m:rPr>
                <m:nor/>
                <m:sty m:val="p"/>
              </m:rPr>
              <w:rPr>
                <w:b w:val="0"/>
                <w:i w:val="0"/>
                <w:sz w:val="24"/>
              </w:rPr>
              <m:t>θ</m:t>
            </m:r>
            <m:ctrlPr>
              <w:rPr>
                <w:rFonts w:ascii="Cambria Math" w:hAnsi="Cambria Math"/>
                <w:sz w:val="24"/>
              </w:rPr>
            </m:ctrlPr>
          </m:e>
          <m:sub>
            <m:r>
              <m:rPr>
                <m:nor/>
                <m:sty m:val="p"/>
              </m:rPr>
              <w:rPr>
                <w:b w:val="0"/>
                <w:i w:val="0"/>
                <w:sz w:val="24"/>
              </w:rPr>
              <m:t>t</m:t>
            </m:r>
            <m:ctrlPr>
              <w:rPr>
                <w:rFonts w:ascii="Cambria Math" w:hAnsi="Cambria Math"/>
                <w:sz w:val="24"/>
              </w:rPr>
            </m:ctrlPr>
          </m:sub>
        </m:sSub>
      </m:oMath>
      <w:r>
        <w:rPr>
          <w:sz w:val="24"/>
        </w:rPr>
        <w:t xml:space="preserve"> 并非通过梯度下降更新，而是由学生网络参数 </w:t>
      </w:r>
      <m:oMath>
        <m:sSub>
          <m:sSubPr>
            <m:ctrlPr>
              <w:rPr>
                <w:rFonts w:ascii="Cambria Math" w:hAnsi="Cambria Math"/>
                <w:sz w:val="24"/>
              </w:rPr>
            </m:ctrlPr>
          </m:sSubPr>
          <m:e>
            <m:r>
              <m:rPr>
                <m:nor/>
                <m:sty m:val="p"/>
              </m:rPr>
              <w:rPr>
                <w:b w:val="0"/>
                <w:i w:val="0"/>
                <w:sz w:val="24"/>
              </w:rPr>
              <m:t>θ</m:t>
            </m:r>
            <m:ctrlPr>
              <w:rPr>
                <w:rFonts w:ascii="Cambria Math" w:hAnsi="Cambria Math"/>
                <w:sz w:val="24"/>
              </w:rPr>
            </m:ctrlPr>
          </m:e>
          <m:sub>
            <m:r>
              <m:rPr>
                <m:nor/>
                <m:sty m:val="p"/>
              </m:rPr>
              <w:rPr>
                <w:b w:val="0"/>
                <w:i w:val="0"/>
                <w:sz w:val="24"/>
              </w:rPr>
              <m:t>s</m:t>
            </m:r>
            <m:ctrlPr>
              <w:rPr>
                <w:rFonts w:ascii="Cambria Math" w:hAnsi="Cambria Math"/>
                <w:sz w:val="24"/>
              </w:rPr>
            </m:ctrlPr>
          </m:sub>
        </m:sSub>
      </m:oMath>
      <w:r>
        <w:rPr>
          <w:sz w:val="24"/>
        </w:rPr>
        <w:t>经过指数滑动平均（Exponential Moving Average, EMA）获得，其更新公式如下：</w:t>
      </w:r>
    </w:p>
    <w:tbl>
      <w:tblPr>
        <w:tblStyle w:val="27"/>
        <w:tblW w:w="5000" w:type="pct"/>
        <w:tblInd w:w="0" w:type="dxa"/>
        <w:tblLayout w:type="autofit"/>
        <w:tblCellMar>
          <w:top w:w="0" w:type="dxa"/>
          <w:left w:w="108" w:type="dxa"/>
          <w:bottom w:w="0" w:type="dxa"/>
          <w:right w:w="108" w:type="dxa"/>
        </w:tblCellMar>
      </w:tblPr>
      <w:tblGrid>
        <w:gridCol w:w="872"/>
        <w:gridCol w:w="6975"/>
        <w:gridCol w:w="873"/>
      </w:tblGrid>
      <w:tr w14:paraId="71DD3E41">
        <w:tblPrEx>
          <w:tblCellMar>
            <w:top w:w="0" w:type="dxa"/>
            <w:left w:w="108" w:type="dxa"/>
            <w:bottom w:w="0" w:type="dxa"/>
            <w:right w:w="108" w:type="dxa"/>
          </w:tblCellMar>
        </w:tblPrEx>
        <w:trPr>
          <w:trHeight w:val="553" w:hRule="atLeast"/>
        </w:trPr>
        <w:tc>
          <w:tcPr>
            <w:tcW w:w="852" w:type="dxa"/>
          </w:tcPr>
          <w:p w14:paraId="79A6A505">
            <w:pPr>
              <w:spacing w:before="156" w:beforeLines="50" w:after="156" w:afterLines="50" w:line="300" w:lineRule="auto"/>
              <w:jc w:val="center"/>
              <w:rPr>
                <w:rFonts w:hint="eastAsia"/>
                <w:b/>
                <w:bCs/>
                <w:sz w:val="24"/>
              </w:rPr>
            </w:pPr>
          </w:p>
        </w:tc>
        <w:tc>
          <w:tcPr>
            <w:tcW w:w="6810" w:type="dxa"/>
          </w:tcPr>
          <w:p w14:paraId="0915BAFD">
            <w:pPr>
              <w:spacing w:before="156" w:beforeLines="50" w:after="156" w:afterLines="50" w:line="300" w:lineRule="auto"/>
              <w:rPr>
                <w:rFonts w:hint="eastAsia"/>
                <w:b/>
                <w:bCs/>
                <w:sz w:val="24"/>
              </w:rPr>
            </w:pPr>
            <m:oMathPara>
              <m:oMath>
                <m:sSub>
                  <m:sSubPr>
                    <m:ctrlPr>
                      <w:rPr>
                        <w:rFonts w:ascii="Cambria Math" w:hAnsi="Cambria Math"/>
                        <w:b w:val="0"/>
                        <w:bCs w:val="0"/>
                        <w:sz w:val="24"/>
                      </w:rPr>
                    </m:ctrlPr>
                  </m:sSubPr>
                  <m:e>
                    <m:r>
                      <m:rPr>
                        <m:nor/>
                        <m:sty m:val="p"/>
                      </m:rPr>
                      <w:rPr>
                        <w:b w:val="0"/>
                        <w:bCs/>
                        <w:i w:val="0"/>
                        <w:sz w:val="24"/>
                      </w:rPr>
                      <m:t>θ</m:t>
                    </m:r>
                    <m:ctrlPr>
                      <w:rPr>
                        <w:rFonts w:ascii="Cambria Math" w:hAnsi="Cambria Math"/>
                        <w:b w:val="0"/>
                        <w:bCs w:val="0"/>
                        <w:sz w:val="24"/>
                      </w:rPr>
                    </m:ctrlPr>
                  </m:e>
                  <m:sub>
                    <m:r>
                      <m:rPr>
                        <m:nor/>
                        <m:sty m:val="p"/>
                      </m:rPr>
                      <w:rPr>
                        <w:b w:val="0"/>
                        <w:bCs/>
                        <w:i w:val="0"/>
                        <w:sz w:val="24"/>
                      </w:rPr>
                      <m:t>t</m:t>
                    </m:r>
                    <m:ctrlPr>
                      <w:rPr>
                        <w:rFonts w:ascii="Cambria Math" w:hAnsi="Cambria Math"/>
                        <w:b w:val="0"/>
                        <w:bCs w:val="0"/>
                        <w:sz w:val="24"/>
                      </w:rPr>
                    </m:ctrlPr>
                  </m:sub>
                </m:sSub>
                <m:r>
                  <m:rPr>
                    <m:nor/>
                    <m:sty m:val="p"/>
                  </m:rPr>
                  <w:rPr>
                    <w:b w:val="0"/>
                    <w:bCs/>
                    <w:i w:val="0"/>
                    <w:sz w:val="24"/>
                  </w:rPr>
                  <m:t>=m</m:t>
                </m:r>
                <m:sSub>
                  <m:sSubPr>
                    <m:ctrlPr>
                      <w:rPr>
                        <w:rFonts w:ascii="Cambria Math" w:hAnsi="Cambria Math"/>
                        <w:b w:val="0"/>
                        <w:bCs w:val="0"/>
                        <w:sz w:val="24"/>
                      </w:rPr>
                    </m:ctrlPr>
                  </m:sSubPr>
                  <m:e>
                    <m:r>
                      <m:rPr>
                        <m:nor/>
                        <m:sty m:val="p"/>
                      </m:rPr>
                      <w:rPr>
                        <w:b w:val="0"/>
                        <w:bCs/>
                        <w:i w:val="0"/>
                        <w:sz w:val="24"/>
                      </w:rPr>
                      <m:t>θ</m:t>
                    </m:r>
                    <m:ctrlPr>
                      <w:rPr>
                        <w:rFonts w:ascii="Cambria Math" w:hAnsi="Cambria Math"/>
                        <w:b w:val="0"/>
                        <w:bCs w:val="0"/>
                        <w:sz w:val="24"/>
                      </w:rPr>
                    </m:ctrlPr>
                  </m:e>
                  <m:sub>
                    <m:r>
                      <m:rPr>
                        <m:nor/>
                        <m:sty m:val="p"/>
                      </m:rPr>
                      <w:rPr>
                        <w:b w:val="0"/>
                        <w:bCs/>
                        <w:i w:val="0"/>
                        <w:sz w:val="24"/>
                      </w:rPr>
                      <m:t>t</m:t>
                    </m:r>
                    <m:ctrlPr>
                      <w:rPr>
                        <w:rFonts w:ascii="Cambria Math" w:hAnsi="Cambria Math"/>
                        <w:b w:val="0"/>
                        <w:bCs w:val="0"/>
                        <w:sz w:val="24"/>
                      </w:rPr>
                    </m:ctrlPr>
                  </m:sub>
                </m:sSub>
                <m:r>
                  <m:rPr>
                    <m:nor/>
                    <m:sty m:val="p"/>
                  </m:rPr>
                  <w:rPr>
                    <w:b w:val="0"/>
                    <w:bCs/>
                    <w:i w:val="0"/>
                    <w:sz w:val="24"/>
                  </w:rPr>
                  <m:t>+(1-m)</m:t>
                </m:r>
                <m:sSub>
                  <m:sSubPr>
                    <m:ctrlPr>
                      <w:rPr>
                        <w:rFonts w:ascii="Cambria Math" w:hAnsi="Cambria Math"/>
                        <w:b w:val="0"/>
                        <w:bCs w:val="0"/>
                        <w:sz w:val="24"/>
                      </w:rPr>
                    </m:ctrlPr>
                  </m:sSubPr>
                  <m:e>
                    <m:r>
                      <m:rPr>
                        <m:nor/>
                        <m:sty m:val="p"/>
                      </m:rPr>
                      <w:rPr>
                        <w:b w:val="0"/>
                        <w:bCs/>
                        <w:i w:val="0"/>
                        <w:sz w:val="24"/>
                      </w:rPr>
                      <m:t>θ</m:t>
                    </m:r>
                    <m:ctrlPr>
                      <w:rPr>
                        <w:rFonts w:ascii="Cambria Math" w:hAnsi="Cambria Math"/>
                        <w:b w:val="0"/>
                        <w:bCs w:val="0"/>
                        <w:sz w:val="24"/>
                      </w:rPr>
                    </m:ctrlPr>
                  </m:e>
                  <m:sub>
                    <m:r>
                      <m:rPr>
                        <m:nor/>
                        <m:sty m:val="p"/>
                      </m:rPr>
                      <w:rPr>
                        <w:b w:val="0"/>
                        <w:bCs/>
                        <w:i w:val="0"/>
                        <w:sz w:val="24"/>
                      </w:rPr>
                      <m:t>s</m:t>
                    </m:r>
                    <m:ctrlPr>
                      <w:rPr>
                        <w:rFonts w:ascii="Cambria Math" w:hAnsi="Cambria Math"/>
                        <w:b w:val="0"/>
                        <w:bCs w:val="0"/>
                        <w:sz w:val="24"/>
                      </w:rPr>
                    </m:ctrlPr>
                  </m:sub>
                </m:sSub>
              </m:oMath>
            </m:oMathPara>
          </w:p>
        </w:tc>
        <w:tc>
          <w:tcPr>
            <w:tcW w:w="852" w:type="dxa"/>
          </w:tcPr>
          <w:p w14:paraId="21B32D4A">
            <w:pPr>
              <w:spacing w:before="156" w:beforeLines="50" w:after="156" w:afterLines="50" w:line="300" w:lineRule="auto"/>
              <w:jc w:val="center"/>
              <w:rPr>
                <w:rFonts w:hint="eastAsia"/>
                <w:b/>
                <w:bCs/>
                <w:sz w:val="24"/>
              </w:rPr>
            </w:pPr>
            <w:r>
              <w:rPr>
                <w:rFonts w:hint="eastAsia"/>
                <w:b/>
                <w:bCs/>
              </w:rPr>
              <w:t>(2-1)</w:t>
            </w:r>
          </w:p>
        </w:tc>
      </w:tr>
    </w:tbl>
    <w:p w14:paraId="31221FA9">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其中，</w:t>
      </w:r>
      <m:oMath>
        <m:r>
          <m:rPr>
            <m:nor/>
            <m:sty m:val="p"/>
          </m:rPr>
          <w:rPr>
            <w:b w:val="0"/>
            <w:i w:val="0"/>
            <w:sz w:val="24"/>
          </w:rPr>
          <m:t xml:space="preserve">m </m:t>
        </m:r>
      </m:oMath>
      <w:r>
        <w:rPr>
          <w:sz w:val="24"/>
        </w:rPr>
        <w:t>为动量系数。这种动量更新机制保证了教师网络输出的稳定性，起到了平滑特征空间、防止模型坍塌的作用。</w:t>
      </w:r>
    </w:p>
    <w:p w14:paraId="665A339B">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63441977">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05256752">
      <w:pPr>
        <w:keepNext w:val="0"/>
        <w:keepLines w:val="0"/>
        <w:pageBreakBefore w:val="0"/>
        <w:widowControl w:val="0"/>
        <w:kinsoku/>
        <w:wordWrap/>
        <w:overflowPunct/>
        <w:topLinePunct w:val="0"/>
        <w:autoSpaceDE/>
        <w:autoSpaceDN/>
        <w:bidi w:val="0"/>
        <w:adjustRightInd/>
        <w:snapToGrid/>
        <w:spacing w:before="100" w:after="100" w:line="360" w:lineRule="auto"/>
        <w:textAlignment w:val="auto"/>
        <w:outlineLvl w:val="2"/>
        <w:rPr>
          <w:rFonts w:hint="eastAsia" w:ascii="Times New Roman" w:hAnsi="Times New Roman" w:eastAsia="黑体" w:cs="Times New Roman"/>
          <w:b/>
          <w:bCs/>
          <w:sz w:val="24"/>
          <w:szCs w:val="24"/>
        </w:rPr>
      </w:pPr>
      <w:bookmarkStart w:id="53" w:name="_Toc20225"/>
      <w:bookmarkStart w:id="54" w:name="_Toc13710"/>
      <w:r>
        <w:rPr>
          <w:rFonts w:hint="default" w:ascii="Times New Roman" w:hAnsi="Times New Roman" w:eastAsia="黑体" w:cs="Times New Roman"/>
          <w:b/>
          <w:bCs/>
          <w:sz w:val="24"/>
          <w:szCs w:val="24"/>
        </w:rPr>
        <w:t>2.2.2 稠密对比正则化与局部特征增强</w:t>
      </w:r>
      <w:bookmarkEnd w:id="53"/>
      <w:bookmarkEnd w:id="54"/>
    </w:p>
    <w:p w14:paraId="2A1EBEFF">
      <w:pPr>
        <w:keepNext w:val="0"/>
        <w:keepLines w:val="0"/>
        <w:pageBreakBefore w:val="0"/>
        <w:widowControl w:val="0"/>
        <w:kinsoku/>
        <w:wordWrap/>
        <w:overflowPunct/>
        <w:topLinePunct w:val="0"/>
        <w:autoSpaceDE/>
        <w:autoSpaceDN/>
        <w:bidi w:val="0"/>
        <w:adjustRightInd/>
        <w:snapToGrid/>
        <w:spacing w:line="360" w:lineRule="auto"/>
        <w:ind w:left="0" w:firstLine="420"/>
        <w:jc w:val="center"/>
        <w:textAlignment w:val="auto"/>
      </w:pPr>
      <w:r>
        <w:rPr>
          <w:sz w:val="24"/>
        </w:rPr>
        <w:t>为了克服传统自监督方法（如 DINOv</w:t>
      </w:r>
      <w:r>
        <w:rPr>
          <w:rFonts w:hint="eastAsia"/>
          <w:sz w:val="24"/>
          <w:lang w:val="en-US" w:eastAsia="zh-CN"/>
        </w:rPr>
        <w:t>3[19]</w:t>
      </w:r>
      <w:r>
        <w:rPr>
          <w:sz w:val="24"/>
        </w:rPr>
        <w:t>）过度关注全局语义而忽视局部精细特征的问题，本底座在预训练中引入了稠密对比正则化（Dense Contrastive Regularization, DCR）。  该机制通过在 Patch 级别引入对比学习约束，确保图像中相邻或具有相似语义的局部区域在表征空间中保持一致。具体而言，对于底座输出的特征图 F</w:t>
      </w:r>
      <m:oMath>
        <m:r>
          <m:rPr>
            <m:nor/>
            <m:sty m:val="p"/>
          </m:rPr>
          <w:rPr>
            <w:b w:val="0"/>
            <w:i w:val="0"/>
            <w:sz w:val="24"/>
          </w:rPr>
          <m:t>∈</m:t>
        </m:r>
        <m:sSup>
          <m:sSupPr>
            <m:ctrlPr>
              <w:rPr>
                <w:rFonts w:ascii="Cambria Math" w:hAnsi="Cambria Math"/>
                <w:sz w:val="24"/>
              </w:rPr>
            </m:ctrlPr>
          </m:sSupPr>
          <m:e>
            <m:r>
              <m:rPr>
                <m:nor/>
                <m:sty m:val="p"/>
              </m:rPr>
              <w:rPr>
                <w:rFonts w:eastAsia="MS Mincho" w:cs="MS Mincho"/>
                <w:b w:val="0"/>
                <w:i w:val="0"/>
                <w:sz w:val="24"/>
              </w:rPr>
              <m:t>R</m:t>
            </m:r>
            <m:ctrlPr>
              <w:rPr>
                <w:rFonts w:ascii="Cambria Math" w:hAnsi="Cambria Math"/>
                <w:sz w:val="24"/>
              </w:rPr>
            </m:ctrlPr>
          </m:e>
          <m:sup>
            <m:r>
              <m:rPr>
                <m:nor/>
                <m:sty m:val="p"/>
              </m:rPr>
              <w:rPr>
                <w:b w:val="0"/>
                <w:i w:val="0"/>
                <w:sz w:val="24"/>
              </w:rPr>
              <m:t>H×W×C</m:t>
            </m:r>
            <m:ctrlPr>
              <w:rPr>
                <w:rFonts w:ascii="Cambria Math" w:hAnsi="Cambria Math"/>
                <w:sz w:val="24"/>
              </w:rPr>
            </m:ctrlPr>
          </m:sup>
        </m:sSup>
      </m:oMath>
      <w:r>
        <w:rPr>
          <w:sz w:val="24"/>
        </w:rPr>
        <w:t>，DCR 鼓励模型学习到具有空间连续性的稠密特征。这种改进使得底座在处理病灶边缘等对比度极低的区域时，能够提供比通用模型更敏锐的边界感知</w:t>
      </w:r>
      <w:r>
        <w:rPr>
          <w:rFonts w:hint="eastAsia"/>
          <w:sz w:val="24"/>
          <w:lang w:val="en-US" w:eastAsia="zh-CN"/>
        </w:rPr>
        <w:t>能力</w:t>
      </w:r>
      <w:r>
        <w:rPr>
          <w:sz w:val="24"/>
        </w:rPr>
        <w:t>，从而</w:t>
      </w:r>
      <w:r>
        <w:rPr>
          <w:rFonts w:hint="eastAsia"/>
          <w:sz w:val="24"/>
          <w:lang w:val="en-US" w:eastAsia="zh-CN"/>
        </w:rPr>
        <w:t>更好地</w:t>
      </w:r>
      <w:r>
        <w:rPr>
          <w:sz w:val="24"/>
        </w:rPr>
        <w:t>支撑下游精细化分割任务</w:t>
      </w:r>
      <w:r>
        <w:rPr>
          <w:rFonts w:hint="eastAsia"/>
          <w:sz w:val="24"/>
          <w:lang w:val="en-US" w:eastAsia="zh-CN"/>
        </w:rPr>
        <w:t>的需求</w:t>
      </w:r>
      <w:r>
        <w:rPr>
          <w:sz w:val="24"/>
        </w:rPr>
        <w:t>。</w:t>
      </w:r>
      <w:r>
        <w:rPr>
          <w:rFonts w:eastAsiaTheme="minorEastAsia"/>
          <w:sz w:val="24"/>
        </w:rPr>
        <w:t xml:space="preserve">  </w:t>
      </w:r>
      <w:r>
        <w:rPr>
          <w:sz w:val="24"/>
        </w:rPr>
        <w:drawing>
          <wp:inline distT="0" distB="0" distL="114300" distR="114300">
            <wp:extent cx="4840605" cy="2875915"/>
            <wp:effectExtent l="0" t="0" r="0" b="0"/>
            <wp:docPr id="8" name="图片 8" descr="毕业论文作图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毕业论文作图_01"/>
                    <pic:cNvPicPr>
                      <a:picLocks noChangeAspect="1"/>
                    </pic:cNvPicPr>
                  </pic:nvPicPr>
                  <pic:blipFill>
                    <a:blip r:embed="rId17"/>
                    <a:srcRect l="5114" r="4854" b="4913"/>
                    <a:stretch>
                      <a:fillRect/>
                    </a:stretch>
                  </pic:blipFill>
                  <pic:spPr>
                    <a:xfrm>
                      <a:off x="0" y="0"/>
                      <a:ext cx="4840605" cy="2875915"/>
                    </a:xfrm>
                    <a:prstGeom prst="rect">
                      <a:avLst/>
                    </a:prstGeom>
                  </pic:spPr>
                </pic:pic>
              </a:graphicData>
            </a:graphic>
          </wp:inline>
        </w:drawing>
      </w:r>
    </w:p>
    <w:p w14:paraId="789204A4">
      <w:pPr>
        <w:keepNext w:val="0"/>
        <w:keepLines w:val="0"/>
        <w:pageBreakBefore w:val="0"/>
        <w:widowControl w:val="0"/>
        <w:kinsoku/>
        <w:wordWrap/>
        <w:overflowPunct/>
        <w:topLinePunct w:val="0"/>
        <w:autoSpaceDE/>
        <w:autoSpaceDN/>
        <w:bidi w:val="0"/>
        <w:adjustRightInd/>
        <w:snapToGrid/>
        <w:spacing w:line="360" w:lineRule="auto"/>
        <w:ind w:left="0" w:firstLine="420"/>
        <w:jc w:val="center"/>
        <w:textAlignment w:val="auto"/>
        <w:rPr>
          <w:rFonts w:hint="eastAsia" w:ascii="黑体" w:hAnsi="黑体" w:eastAsia="黑体" w:cs="黑体"/>
        </w:rPr>
      </w:pPr>
      <w:r>
        <w:rPr>
          <w:rFonts w:hint="eastAsia" w:ascii="黑体" w:hAnsi="黑体" w:eastAsia="黑体" w:cs="黑体"/>
        </w:rPr>
        <w:t>图2-2 自监督训练与DCR示意图</w:t>
      </w:r>
    </w:p>
    <w:p w14:paraId="1E8052C5">
      <w:pPr>
        <w:keepNext w:val="0"/>
        <w:keepLines w:val="0"/>
        <w:pageBreakBefore w:val="0"/>
        <w:widowControl w:val="0"/>
        <w:kinsoku/>
        <w:wordWrap/>
        <w:overflowPunct/>
        <w:topLinePunct w:val="0"/>
        <w:autoSpaceDE/>
        <w:autoSpaceDN/>
        <w:bidi w:val="0"/>
        <w:adjustRightInd/>
        <w:snapToGrid/>
        <w:spacing w:line="360" w:lineRule="auto"/>
        <w:ind w:left="0" w:firstLine="420"/>
        <w:jc w:val="center"/>
        <w:textAlignment w:val="auto"/>
        <w:rPr>
          <w:rFonts w:hint="eastAsia" w:ascii="黑体" w:hAnsi="黑体" w:eastAsia="黑体" w:cs="黑体"/>
        </w:rPr>
      </w:pPr>
    </w:p>
    <w:p w14:paraId="14C8F6C6">
      <w:pPr>
        <w:keepNext w:val="0"/>
        <w:keepLines w:val="0"/>
        <w:pageBreakBefore w:val="0"/>
        <w:widowControl w:val="0"/>
        <w:kinsoku/>
        <w:wordWrap/>
        <w:overflowPunct/>
        <w:topLinePunct w:val="0"/>
        <w:autoSpaceDE/>
        <w:autoSpaceDN/>
        <w:bidi w:val="0"/>
        <w:adjustRightInd/>
        <w:snapToGrid/>
        <w:spacing w:before="100" w:after="100" w:line="360" w:lineRule="auto"/>
        <w:textAlignment w:val="auto"/>
        <w:outlineLvl w:val="2"/>
        <w:rPr>
          <w:rFonts w:hint="eastAsia" w:ascii="Times New Roman" w:hAnsi="Times New Roman" w:eastAsia="黑体" w:cs="Times New Roman"/>
          <w:b/>
          <w:bCs/>
          <w:sz w:val="24"/>
          <w:szCs w:val="24"/>
        </w:rPr>
      </w:pPr>
      <w:bookmarkStart w:id="55" w:name="_Toc6287"/>
      <w:bookmarkStart w:id="56" w:name="_Toc20010"/>
      <w:r>
        <w:rPr>
          <w:rFonts w:hint="default" w:ascii="Times New Roman" w:hAnsi="Times New Roman" w:eastAsia="黑体" w:cs="Times New Roman"/>
          <w:b/>
          <w:bCs/>
          <w:sz w:val="24"/>
          <w:szCs w:val="24"/>
        </w:rPr>
        <w:t>2.2.3 特征映射与多尺度输出</w:t>
      </w:r>
      <w:bookmarkEnd w:id="55"/>
      <w:bookmarkEnd w:id="56"/>
    </w:p>
    <w:p w14:paraId="00326BBB">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eastAsiaTheme="minorEastAsia"/>
          <w:sz w:val="24"/>
        </w:rPr>
      </w:pPr>
      <w:r>
        <w:rPr>
          <w:sz w:val="24"/>
        </w:rPr>
        <w:t xml:space="preserve">在推理阶段，输入图像被划分为 </w:t>
      </w:r>
      <m:oMath>
        <m:r>
          <m:rPr>
            <m:nor/>
            <m:sty m:val="p"/>
          </m:rPr>
          <w:rPr>
            <w:b w:val="0"/>
            <w:i w:val="0"/>
            <w:sz w:val="24"/>
          </w:rPr>
          <m:t>14×14</m:t>
        </m:r>
      </m:oMath>
      <w:r>
        <w:rPr>
          <w:sz w:val="24"/>
        </w:rPr>
        <w:t xml:space="preserve">大小的 Patch 块并映射为 Token 序列，随后输入到视觉 Transformer（ViT）编码器中进行长程建模。本文保留了底座中包含丰富细节信息的浅层特征与包含高度语义信息的深层特征。这种多尺度特征输出模式，使得后续的 Mask2Former 模块能够结合全局上下文与局部纹理细节，应对皮肤镜图像中复杂的光照变化、毛发干扰及颜色差异。  </w:t>
      </w:r>
    </w:p>
    <w:p w14:paraId="295B84A1">
      <w:pPr>
        <w:keepNext w:val="0"/>
        <w:keepLines w:val="0"/>
        <w:pageBreakBefore w:val="0"/>
        <w:widowControl w:val="0"/>
        <w:numPr>
          <w:ilvl w:val="1"/>
          <w:numId w:val="0"/>
        </w:numPr>
        <w:kinsoku/>
        <w:wordWrap/>
        <w:overflowPunct/>
        <w:topLinePunct w:val="0"/>
        <w:autoSpaceDE/>
        <w:autoSpaceDN/>
        <w:bidi w:val="0"/>
        <w:adjustRightInd/>
        <w:snapToGrid/>
        <w:spacing w:before="100" w:after="100" w:line="360" w:lineRule="auto"/>
        <w:ind w:left="0"/>
        <w:textAlignment w:val="auto"/>
        <w:outlineLvl w:val="1"/>
        <w:rPr>
          <w:rFonts w:hint="default" w:ascii="Times New Roman" w:hAnsi="Times New Roman" w:eastAsia="黑体" w:cs="Times New Roman"/>
          <w:b/>
          <w:bCs/>
          <w:sz w:val="28"/>
          <w:szCs w:val="28"/>
        </w:rPr>
      </w:pPr>
      <w:bookmarkStart w:id="57" w:name="_Toc175"/>
      <w:bookmarkStart w:id="58" w:name="_Toc17860"/>
      <w:bookmarkStart w:id="59" w:name="_Toc15444"/>
      <w:bookmarkStart w:id="60" w:name="_Toc4234"/>
      <w:r>
        <w:rPr>
          <w:rFonts w:hint="default" w:ascii="Times New Roman" w:hAnsi="Times New Roman" w:eastAsia="黑体" w:cs="Times New Roman"/>
          <w:b/>
          <w:bCs/>
          <w:sz w:val="28"/>
          <w:szCs w:val="28"/>
        </w:rPr>
        <w:t>2.3 基于Mask2Former的分割头构建</w:t>
      </w:r>
      <w:bookmarkEnd w:id="57"/>
      <w:bookmarkEnd w:id="58"/>
      <w:bookmarkEnd w:id="59"/>
      <w:bookmarkEnd w:id="60"/>
    </w:p>
    <w:p w14:paraId="0AEEB592">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在获得领域底座提取的高质量特征表征后，本文引入 Mask2Former 架构作为核心分割解码模块。该模块彻底改变了传统逐像素分类（Per-pixel Classification）的固有模式，通过引入像素解码器（Pixel Decoder）与掩码分类（Mask Classification）逻辑，实现对皮肤病灶区域的精细化建模。像素解码器利用特征金字塔网络（FPN）或多尺度可变形注意力机制，将底座输出的1/32至1/4尺度的多层级特征进行渐进式融合。这种多尺度整合策略确保了模型既能利用深层特征的全局语义进行病灶定位，又能利用浅层高空间分辨率特征还原边缘的微细结构，从而为“精细化”目标的实现奠定了物理基础。</w:t>
      </w:r>
    </w:p>
    <w:p w14:paraId="36FBE7F6">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eastAsiaTheme="minorEastAsia"/>
          <w:sz w:val="24"/>
        </w:rPr>
      </w:pPr>
      <w:r>
        <w:rPr>
          <w:sz w:val="24"/>
        </w:rPr>
        <w:t>分割模块的技术核心在于基于 Transformer Decoder 的迭代查询与预测机制</w:t>
      </w:r>
      <w:r>
        <w:rPr>
          <w:rFonts w:hint="eastAsia"/>
          <w:sz w:val="24"/>
          <w:lang w:val="en-US" w:eastAsia="zh-CN"/>
        </w:rPr>
        <w:t>[12]</w:t>
      </w:r>
      <w:r>
        <w:rPr>
          <w:sz w:val="24"/>
        </w:rPr>
        <w:t>。本文初始化一组N个可学习的掩码查询向量（Mask Queries），并采用掩码注意力机制（Masked Attention）来优化特征交互过程。不同于标准 Transformer 的全局注意力，掩码注意力通过将计算范围限制在预测掩码的前景区域内，强迫查询向量精准聚焦于病灶及其边界，有效过滤了皮肤镜图像中常见的毛发遮挡与油斑噪声。在每一层解码器中，查询向量通过掩码注意力、自注意力及前馈网络进行循环迭代，不断吸收底座提供的局部细节并优化自身的表征精度，从而实现对复杂病灶拓扑结构的深度挖掘。最终，经过迭代更新的查询向量通过并行的分类分支与掩码分支输出预测结果。分类分支负责判定当前查询区域属于病灶或背景的概率，而掩码分支则通过查询向量与高分辨率特征图的内积运算，生成二值化分割掩码。这种基于查询的结构化预测方式，使模型能够从全局视觉出发建立病灶的完整形状约束，显著提升了对复杂不规则形状、边缘对比度极低病灶的分割精度。相比传统基于像素分类的方法，该架构有效克服了病灶内部空洞及边缘锯齿化等问题，实现了真正意义上的精细化分割。</w:t>
      </w:r>
    </w:p>
    <w:p w14:paraId="78FE9790">
      <w:pPr>
        <w:keepNext w:val="0"/>
        <w:keepLines w:val="0"/>
        <w:pageBreakBefore w:val="0"/>
        <w:widowControl w:val="0"/>
        <w:numPr>
          <w:ilvl w:val="1"/>
          <w:numId w:val="0"/>
        </w:numPr>
        <w:kinsoku/>
        <w:wordWrap/>
        <w:overflowPunct/>
        <w:topLinePunct w:val="0"/>
        <w:autoSpaceDE/>
        <w:autoSpaceDN/>
        <w:bidi w:val="0"/>
        <w:adjustRightInd/>
        <w:snapToGrid/>
        <w:spacing w:before="100" w:after="100" w:line="360" w:lineRule="auto"/>
        <w:ind w:left="0"/>
        <w:textAlignment w:val="auto"/>
        <w:outlineLvl w:val="1"/>
        <w:rPr>
          <w:rFonts w:eastAsia="黑体"/>
          <w:b/>
          <w:bCs/>
          <w:sz w:val="28"/>
          <w:szCs w:val="28"/>
        </w:rPr>
      </w:pPr>
      <w:bookmarkStart w:id="61" w:name="_Toc1596"/>
      <w:bookmarkStart w:id="62" w:name="_Toc24066"/>
      <w:bookmarkStart w:id="63" w:name="_Toc13945"/>
      <w:bookmarkStart w:id="64" w:name="_Toc27901"/>
      <w:r>
        <w:rPr>
          <w:rFonts w:hint="default" w:ascii="Times New Roman" w:hAnsi="Times New Roman" w:eastAsia="黑体" w:cs="Times New Roman"/>
          <w:b/>
          <w:bCs/>
          <w:sz w:val="28"/>
          <w:szCs w:val="28"/>
        </w:rPr>
        <w:t>2.4 损失函数与训练策略</w:t>
      </w:r>
      <w:bookmarkEnd w:id="61"/>
      <w:bookmarkEnd w:id="62"/>
      <w:bookmarkEnd w:id="63"/>
      <w:bookmarkEnd w:id="64"/>
    </w:p>
    <w:p w14:paraId="36FF4D04">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在本文的 M2F 分割方案中，损失函数采用集合匹配主损失与辅助语义与边界约束的联合形式。具体地，先将 decoder 输出的 query（类别 logits 与 mask logits）与目标掩码通过 Hungarian 算法</w:t>
      </w:r>
      <w:r>
        <w:rPr>
          <w:rFonts w:hint="eastAsia"/>
          <w:sz w:val="24"/>
          <w:lang w:val="en-US" w:eastAsia="zh-CN"/>
        </w:rPr>
        <w:t>逐一</w:t>
      </w:r>
      <w:r>
        <w:rPr>
          <w:sz w:val="24"/>
        </w:rPr>
        <w:t>匹配，然后在匹配对上计算query分类的交叉熵损失、掩码二值交叉熵损失和 Dice 损失，并按权重加权求和作为主损失；同时对各层辅助输出（aux outputs）施加同构损失以进行深监督。其总体形式可写为</w:t>
      </w:r>
      <w:r>
        <w:rPr>
          <w:rFonts w:hint="eastAsia"/>
          <w:sz w:val="24"/>
          <w:lang w:eastAsia="zh-CN"/>
        </w:rPr>
        <w:t>：</w:t>
      </w:r>
    </w:p>
    <w:tbl>
      <w:tblPr>
        <w:tblStyle w:val="27"/>
        <w:tblW w:w="5000" w:type="pct"/>
        <w:tblInd w:w="0" w:type="dxa"/>
        <w:tblLayout w:type="autofit"/>
        <w:tblCellMar>
          <w:top w:w="0" w:type="dxa"/>
          <w:left w:w="108" w:type="dxa"/>
          <w:bottom w:w="0" w:type="dxa"/>
          <w:right w:w="108" w:type="dxa"/>
        </w:tblCellMar>
      </w:tblPr>
      <w:tblGrid>
        <w:gridCol w:w="872"/>
        <w:gridCol w:w="6975"/>
        <w:gridCol w:w="873"/>
      </w:tblGrid>
      <w:tr w14:paraId="1E451F9A">
        <w:tblPrEx>
          <w:tblCellMar>
            <w:top w:w="0" w:type="dxa"/>
            <w:left w:w="108" w:type="dxa"/>
            <w:bottom w:w="0" w:type="dxa"/>
            <w:right w:w="108" w:type="dxa"/>
          </w:tblCellMar>
        </w:tblPrEx>
        <w:trPr>
          <w:trHeight w:val="553" w:hRule="atLeast"/>
        </w:trPr>
        <w:tc>
          <w:tcPr>
            <w:tcW w:w="852" w:type="dxa"/>
          </w:tcPr>
          <w:p w14:paraId="7BB57062">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b/>
                <w:bCs/>
                <w:sz w:val="24"/>
              </w:rPr>
            </w:pPr>
          </w:p>
        </w:tc>
        <w:tc>
          <w:tcPr>
            <w:tcW w:w="6810" w:type="dxa"/>
          </w:tcPr>
          <w:p w14:paraId="7AA56ABD">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b/>
                <w:bCs/>
                <w:sz w:val="24"/>
              </w:rPr>
            </w:pPr>
            <m:oMathPara>
              <m:oMath>
                <m:sSub>
                  <m:sSubPr>
                    <m:ctrlPr>
                      <w:rPr>
                        <w:rFonts w:ascii="Cambria Math" w:hAnsi="Cambria Math"/>
                        <w:b w:val="0"/>
                        <w:bCs w:val="0"/>
                        <w:sz w:val="24"/>
                      </w:rPr>
                    </m:ctrlPr>
                  </m:sSubPr>
                  <m:e>
                    <m:r>
                      <m:rPr>
                        <m:nor/>
                        <m:sty m:val="p"/>
                      </m:rPr>
                      <w:rPr>
                        <w:b w:val="0"/>
                        <w:bCs/>
                        <w:i w:val="0"/>
                        <w:sz w:val="24"/>
                      </w:rPr>
                      <m:t>L</m:t>
                    </m:r>
                    <m:ctrlPr>
                      <w:rPr>
                        <w:rFonts w:ascii="Cambria Math" w:hAnsi="Cambria Math"/>
                        <w:b w:val="0"/>
                        <w:bCs w:val="0"/>
                        <w:sz w:val="24"/>
                      </w:rPr>
                    </m:ctrlPr>
                  </m:e>
                  <m:sub>
                    <m:r>
                      <m:rPr>
                        <m:nor/>
                        <m:sty m:val="p"/>
                      </m:rPr>
                      <w:rPr>
                        <w:b w:val="0"/>
                        <w:bCs/>
                        <w:i w:val="0"/>
                        <w:sz w:val="24"/>
                      </w:rPr>
                      <m:t>M2F</m:t>
                    </m:r>
                    <m:ctrlPr>
                      <w:rPr>
                        <w:rFonts w:ascii="Cambria Math" w:hAnsi="Cambria Math"/>
                        <w:b w:val="0"/>
                        <w:bCs w:val="0"/>
                        <w:sz w:val="24"/>
                      </w:rPr>
                    </m:ctrlPr>
                  </m:sub>
                </m:sSub>
                <m:r>
                  <m:rPr>
                    <m:nor/>
                    <m:sty m:val="p"/>
                  </m:rPr>
                  <w:rPr>
                    <w:b w:val="0"/>
                    <w:bCs/>
                    <w:i w:val="0"/>
                    <w:sz w:val="24"/>
                  </w:rPr>
                  <m:t>=</m:t>
                </m:r>
                <m:sSub>
                  <m:sSubPr>
                    <m:ctrlPr>
                      <w:rPr>
                        <w:rFonts w:ascii="Cambria Math" w:hAnsi="Cambria Math"/>
                        <w:b w:val="0"/>
                        <w:bCs w:val="0"/>
                        <w:sz w:val="24"/>
                      </w:rPr>
                    </m:ctrlPr>
                  </m:sSubPr>
                  <m:e>
                    <m:r>
                      <m:rPr>
                        <m:nor/>
                        <m:sty m:val="p"/>
                      </m:rPr>
                      <w:rPr>
                        <w:b w:val="0"/>
                        <w:bCs/>
                        <w:i w:val="0"/>
                        <w:sz w:val="24"/>
                      </w:rPr>
                      <m:t>L</m:t>
                    </m:r>
                    <m:ctrlPr>
                      <w:rPr>
                        <w:rFonts w:ascii="Cambria Math" w:hAnsi="Cambria Math"/>
                        <w:b w:val="0"/>
                        <w:bCs w:val="0"/>
                        <w:sz w:val="24"/>
                      </w:rPr>
                    </m:ctrlPr>
                  </m:e>
                  <m:sub>
                    <m:r>
                      <m:rPr>
                        <m:nor/>
                        <m:sty m:val="p"/>
                      </m:rPr>
                      <w:rPr>
                        <w:b w:val="0"/>
                        <w:bCs/>
                        <w:i w:val="0"/>
                        <w:sz w:val="24"/>
                      </w:rPr>
                      <m:t>match</m:t>
                    </m:r>
                    <m:ctrlPr>
                      <w:rPr>
                        <w:rFonts w:ascii="Cambria Math" w:hAnsi="Cambria Math"/>
                        <w:b w:val="0"/>
                        <w:bCs w:val="0"/>
                        <w:sz w:val="24"/>
                      </w:rPr>
                    </m:ctrlPr>
                  </m:sub>
                </m:sSub>
                <m:r>
                  <m:rPr>
                    <m:nor/>
                    <m:sty m:val="p"/>
                  </m:rPr>
                  <w:rPr>
                    <w:b w:val="0"/>
                    <w:bCs/>
                    <w:i w:val="0"/>
                    <w:sz w:val="24"/>
                  </w:rPr>
                  <m:t>+</m:t>
                </m:r>
                <m:sSub>
                  <m:sSubPr>
                    <m:ctrlPr>
                      <w:rPr>
                        <w:rFonts w:ascii="Cambria Math" w:hAnsi="Cambria Math"/>
                        <w:b w:val="0"/>
                        <w:bCs w:val="0"/>
                        <w:sz w:val="24"/>
                      </w:rPr>
                    </m:ctrlPr>
                  </m:sSubPr>
                  <m:e>
                    <m:r>
                      <m:rPr>
                        <m:nor/>
                        <m:sty m:val="p"/>
                      </m:rPr>
                      <w:rPr>
                        <w:b w:val="0"/>
                        <w:bCs/>
                        <w:i w:val="0"/>
                        <w:sz w:val="24"/>
                      </w:rPr>
                      <m:t>λ</m:t>
                    </m:r>
                    <m:ctrlPr>
                      <w:rPr>
                        <w:rFonts w:ascii="Cambria Math" w:hAnsi="Cambria Math"/>
                        <w:b w:val="0"/>
                        <w:bCs w:val="0"/>
                        <w:sz w:val="24"/>
                      </w:rPr>
                    </m:ctrlPr>
                  </m:e>
                  <m:sub>
                    <m:r>
                      <m:rPr>
                        <m:nor/>
                        <m:sty m:val="p"/>
                      </m:rPr>
                      <w:rPr>
                        <w:b w:val="0"/>
                        <w:bCs/>
                        <w:i w:val="0"/>
                        <w:sz w:val="24"/>
                      </w:rPr>
                      <m:t>sem</m:t>
                    </m:r>
                    <m:ctrlPr>
                      <w:rPr>
                        <w:rFonts w:ascii="Cambria Math" w:hAnsi="Cambria Math"/>
                        <w:b w:val="0"/>
                        <w:bCs w:val="0"/>
                        <w:sz w:val="24"/>
                      </w:rPr>
                    </m:ctrlPr>
                  </m:sub>
                </m:sSub>
                <m:sSub>
                  <m:sSubPr>
                    <m:ctrlPr>
                      <w:rPr>
                        <w:rFonts w:ascii="Cambria Math" w:hAnsi="Cambria Math"/>
                        <w:b w:val="0"/>
                        <w:bCs w:val="0"/>
                        <w:sz w:val="24"/>
                      </w:rPr>
                    </m:ctrlPr>
                  </m:sSubPr>
                  <m:e>
                    <m:r>
                      <m:rPr>
                        <m:nor/>
                        <m:sty m:val="p"/>
                      </m:rPr>
                      <w:rPr>
                        <w:b w:val="0"/>
                        <w:bCs/>
                        <w:i w:val="0"/>
                        <w:sz w:val="24"/>
                      </w:rPr>
                      <m:t>L</m:t>
                    </m:r>
                    <m:ctrlPr>
                      <w:rPr>
                        <w:rFonts w:ascii="Cambria Math" w:hAnsi="Cambria Math"/>
                        <w:b w:val="0"/>
                        <w:bCs w:val="0"/>
                        <w:sz w:val="24"/>
                      </w:rPr>
                    </m:ctrlPr>
                  </m:e>
                  <m:sub>
                    <m:r>
                      <m:rPr>
                        <m:nor/>
                        <m:sty m:val="p"/>
                      </m:rPr>
                      <w:rPr>
                        <w:b w:val="0"/>
                        <w:bCs/>
                        <w:i w:val="0"/>
                        <w:sz w:val="24"/>
                      </w:rPr>
                      <m:t>sem-ce</m:t>
                    </m:r>
                    <m:ctrlPr>
                      <w:rPr>
                        <w:rFonts w:ascii="Cambria Math" w:hAnsi="Cambria Math"/>
                        <w:b w:val="0"/>
                        <w:bCs w:val="0"/>
                        <w:sz w:val="24"/>
                      </w:rPr>
                    </m:ctrlPr>
                  </m:sub>
                </m:sSub>
                <m:r>
                  <m:rPr>
                    <m:nor/>
                    <m:sty m:val="p"/>
                  </m:rPr>
                  <w:rPr>
                    <w:b w:val="0"/>
                    <w:bCs/>
                    <w:i w:val="0"/>
                    <w:sz w:val="24"/>
                  </w:rPr>
                  <m:t>+</m:t>
                </m:r>
                <m:sSub>
                  <m:sSubPr>
                    <m:ctrlPr>
                      <w:rPr>
                        <w:rFonts w:ascii="Cambria Math" w:hAnsi="Cambria Math"/>
                        <w:b w:val="0"/>
                        <w:bCs w:val="0"/>
                        <w:sz w:val="24"/>
                      </w:rPr>
                    </m:ctrlPr>
                  </m:sSubPr>
                  <m:e>
                    <m:r>
                      <m:rPr>
                        <m:nor/>
                        <m:sty m:val="p"/>
                      </m:rPr>
                      <w:rPr>
                        <w:b w:val="0"/>
                        <w:bCs/>
                        <w:i w:val="0"/>
                        <w:sz w:val="24"/>
                      </w:rPr>
                      <m:t>λ</m:t>
                    </m:r>
                    <m:ctrlPr>
                      <w:rPr>
                        <w:rFonts w:ascii="Cambria Math" w:hAnsi="Cambria Math"/>
                        <w:b w:val="0"/>
                        <w:bCs w:val="0"/>
                        <w:sz w:val="24"/>
                      </w:rPr>
                    </m:ctrlPr>
                  </m:e>
                  <m:sub>
                    <m:r>
                      <m:rPr>
                        <m:nor/>
                        <m:sty m:val="p"/>
                      </m:rPr>
                      <w:rPr>
                        <w:b w:val="0"/>
                        <w:bCs/>
                        <w:i w:val="0"/>
                        <w:sz w:val="24"/>
                      </w:rPr>
                      <m:t>bd</m:t>
                    </m:r>
                    <m:ctrlPr>
                      <w:rPr>
                        <w:rFonts w:ascii="Cambria Math" w:hAnsi="Cambria Math"/>
                        <w:b w:val="0"/>
                        <w:bCs w:val="0"/>
                        <w:sz w:val="24"/>
                      </w:rPr>
                    </m:ctrlPr>
                  </m:sub>
                </m:sSub>
                <m:sSub>
                  <m:sSubPr>
                    <m:ctrlPr>
                      <w:rPr>
                        <w:rFonts w:ascii="Cambria Math" w:hAnsi="Cambria Math"/>
                        <w:b w:val="0"/>
                        <w:bCs w:val="0"/>
                        <w:sz w:val="24"/>
                      </w:rPr>
                    </m:ctrlPr>
                  </m:sSubPr>
                  <m:e>
                    <m:r>
                      <m:rPr>
                        <m:nor/>
                        <m:sty m:val="p"/>
                      </m:rPr>
                      <w:rPr>
                        <w:b w:val="0"/>
                        <w:bCs/>
                        <w:i w:val="0"/>
                        <w:sz w:val="24"/>
                      </w:rPr>
                      <m:t>L</m:t>
                    </m:r>
                    <m:ctrlPr>
                      <w:rPr>
                        <w:rFonts w:ascii="Cambria Math" w:hAnsi="Cambria Math"/>
                        <w:b w:val="0"/>
                        <w:bCs w:val="0"/>
                        <w:sz w:val="24"/>
                      </w:rPr>
                    </m:ctrlPr>
                  </m:e>
                  <m:sub>
                    <m:r>
                      <m:rPr>
                        <m:nor/>
                        <m:sty m:val="p"/>
                      </m:rPr>
                      <w:rPr>
                        <w:b w:val="0"/>
                        <w:bCs/>
                        <w:i w:val="0"/>
                        <w:sz w:val="24"/>
                      </w:rPr>
                      <m:t>bd</m:t>
                    </m:r>
                    <m:ctrlPr>
                      <w:rPr>
                        <w:rFonts w:ascii="Cambria Math" w:hAnsi="Cambria Math"/>
                        <w:b w:val="0"/>
                        <w:bCs w:val="0"/>
                        <w:sz w:val="24"/>
                      </w:rPr>
                    </m:ctrlPr>
                  </m:sub>
                </m:sSub>
              </m:oMath>
            </m:oMathPara>
          </w:p>
        </w:tc>
        <w:tc>
          <w:tcPr>
            <w:tcW w:w="852" w:type="dxa"/>
          </w:tcPr>
          <w:p w14:paraId="36FCE0B4">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b/>
                <w:bCs/>
                <w:sz w:val="24"/>
              </w:rPr>
            </w:pPr>
            <w:r>
              <w:rPr>
                <w:rFonts w:hint="eastAsia"/>
                <w:b/>
                <w:bCs/>
              </w:rPr>
              <w:t>(</w:t>
            </w:r>
            <w:r>
              <w:rPr>
                <w:b/>
                <w:bCs/>
              </w:rPr>
              <w:fldChar w:fldCharType="begin"/>
            </w:r>
            <w:r>
              <w:rPr>
                <w:b/>
                <w:bCs/>
              </w:rPr>
              <w:instrText xml:space="preserve"> SEQ Equation \* ARABIC </w:instrText>
            </w:r>
            <w:r>
              <w:rPr>
                <w:b/>
                <w:bCs/>
              </w:rPr>
              <w:fldChar w:fldCharType="separate"/>
            </w:r>
            <w:r>
              <w:rPr>
                <w:b/>
                <w:bCs/>
              </w:rPr>
              <w:t>2</w:t>
            </w:r>
            <w:r>
              <w:rPr>
                <w:b/>
                <w:bCs/>
              </w:rPr>
              <w:fldChar w:fldCharType="end"/>
            </w:r>
            <w:r>
              <w:rPr>
                <w:rFonts w:hint="eastAsia"/>
                <w:b/>
                <w:bCs/>
              </w:rPr>
              <w:t>-2)</w:t>
            </w:r>
          </w:p>
        </w:tc>
      </w:tr>
    </w:tbl>
    <w:p w14:paraId="7B3A51D7">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eastAsia="宋体"/>
          <w:sz w:val="24"/>
          <w:lang w:val="en-US" w:eastAsia="zh-CN"/>
        </w:rPr>
      </w:pPr>
      <w:r>
        <w:rPr>
          <w:sz w:val="24"/>
        </w:rPr>
        <w:t>其中</w:t>
      </w:r>
      <m:oMath>
        <m:sSub>
          <m:sSubPr>
            <m:ctrlPr>
              <w:rPr>
                <w:rFonts w:ascii="Cambria Math" w:hAnsi="Cambria Math"/>
                <w:b w:val="0"/>
                <w:bCs w:val="0"/>
                <w:sz w:val="24"/>
              </w:rPr>
            </m:ctrlPr>
          </m:sSubPr>
          <m:e>
            <m:r>
              <m:rPr>
                <m:nor/>
                <m:sty m:val="p"/>
              </m:rPr>
              <w:rPr>
                <w:rFonts w:hint="default" w:ascii="Cambria Math" w:hAnsi="Cambria Math"/>
                <w:b w:val="0"/>
                <w:bCs w:val="0"/>
                <w:i w:val="0"/>
                <w:sz w:val="24"/>
                <w:lang w:val="en-US" w:eastAsia="zh-CN"/>
              </w:rPr>
              <m:t xml:space="preserve"> </m:t>
            </m:r>
            <m:r>
              <m:rPr>
                <m:nor/>
                <m:sty m:val="p"/>
              </m:rPr>
              <w:rPr>
                <w:b w:val="0"/>
                <w:bCs/>
                <w:i w:val="0"/>
                <w:sz w:val="24"/>
              </w:rPr>
              <m:t>L</m:t>
            </m:r>
            <m:ctrlPr>
              <w:rPr>
                <w:rFonts w:ascii="Cambria Math" w:hAnsi="Cambria Math"/>
                <w:b w:val="0"/>
                <w:bCs w:val="0"/>
                <w:sz w:val="24"/>
              </w:rPr>
            </m:ctrlPr>
          </m:e>
          <m:sub>
            <m:r>
              <m:rPr>
                <m:nor/>
                <m:sty m:val="p"/>
              </m:rPr>
              <w:rPr>
                <w:b w:val="0"/>
                <w:bCs/>
                <w:i w:val="0"/>
                <w:sz w:val="24"/>
              </w:rPr>
              <m:t>match</m:t>
            </m:r>
            <m:r>
              <m:rPr>
                <m:nor/>
                <m:sty m:val="p"/>
              </m:rPr>
              <w:rPr>
                <w:rFonts w:hint="default"/>
                <w:b w:val="0"/>
                <w:bCs/>
                <w:i w:val="0"/>
                <w:sz w:val="24"/>
                <w:lang w:val="en-US" w:eastAsia="zh-CN"/>
              </w:rPr>
              <m:t xml:space="preserve"> </m:t>
            </m:r>
            <m:ctrlPr>
              <w:rPr>
                <w:rFonts w:ascii="Cambria Math" w:hAnsi="Cambria Math"/>
                <w:b w:val="0"/>
                <w:bCs w:val="0"/>
                <w:sz w:val="24"/>
              </w:rPr>
            </m:ctrlPr>
          </m:sub>
        </m:sSub>
      </m:oMath>
      <w:r>
        <w:rPr>
          <w:rFonts w:hint="eastAsia" w:hAnsi="Cambria Math"/>
          <w:b w:val="0"/>
          <w:bCs w:val="0"/>
          <w:i w:val="0"/>
          <w:sz w:val="24"/>
          <w:lang w:val="en-US" w:eastAsia="zh-CN"/>
        </w:rPr>
        <w:t>定义为：</w:t>
      </w:r>
    </w:p>
    <w:tbl>
      <w:tblPr>
        <w:tblStyle w:val="27"/>
        <w:tblW w:w="5000" w:type="pct"/>
        <w:tblInd w:w="0" w:type="dxa"/>
        <w:tblLayout w:type="autofit"/>
        <w:tblCellMar>
          <w:top w:w="0" w:type="dxa"/>
          <w:left w:w="108" w:type="dxa"/>
          <w:bottom w:w="0" w:type="dxa"/>
          <w:right w:w="108" w:type="dxa"/>
        </w:tblCellMar>
      </w:tblPr>
      <w:tblGrid>
        <w:gridCol w:w="872"/>
        <w:gridCol w:w="6975"/>
        <w:gridCol w:w="873"/>
      </w:tblGrid>
      <w:tr w14:paraId="23543743">
        <w:tblPrEx>
          <w:tblCellMar>
            <w:top w:w="0" w:type="dxa"/>
            <w:left w:w="108" w:type="dxa"/>
            <w:bottom w:w="0" w:type="dxa"/>
            <w:right w:w="108" w:type="dxa"/>
          </w:tblCellMar>
        </w:tblPrEx>
        <w:trPr>
          <w:trHeight w:val="553" w:hRule="atLeast"/>
        </w:trPr>
        <w:tc>
          <w:tcPr>
            <w:tcW w:w="852" w:type="dxa"/>
          </w:tcPr>
          <w:p w14:paraId="191472DA">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b/>
                <w:bCs/>
                <w:sz w:val="24"/>
              </w:rPr>
            </w:pPr>
          </w:p>
        </w:tc>
        <w:tc>
          <w:tcPr>
            <w:tcW w:w="6810" w:type="dxa"/>
          </w:tcPr>
          <w:p w14:paraId="4086E06C">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hint="eastAsia"/>
                <w:b/>
                <w:bCs/>
                <w:sz w:val="24"/>
              </w:rPr>
            </w:pPr>
            <m:oMathPara>
              <m:oMath>
                <m:sSub>
                  <m:sSubPr>
                    <m:ctrlPr>
                      <w:rPr>
                        <w:rFonts w:ascii="Cambria Math" w:hAnsi="Cambria Math"/>
                        <w:b w:val="0"/>
                        <w:bCs w:val="0"/>
                        <w:sz w:val="24"/>
                      </w:rPr>
                    </m:ctrlPr>
                  </m:sSubPr>
                  <m:e>
                    <m:r>
                      <m:rPr>
                        <m:nor/>
                        <m:sty m:val="p"/>
                      </m:rPr>
                      <w:rPr>
                        <w:b w:val="0"/>
                        <w:bCs/>
                        <w:i w:val="0"/>
                        <w:sz w:val="24"/>
                      </w:rPr>
                      <m:t>L</m:t>
                    </m:r>
                    <m:ctrlPr>
                      <w:rPr>
                        <w:rFonts w:ascii="Cambria Math" w:hAnsi="Cambria Math"/>
                        <w:b w:val="0"/>
                        <w:bCs w:val="0"/>
                        <w:sz w:val="24"/>
                      </w:rPr>
                    </m:ctrlPr>
                  </m:e>
                  <m:sub>
                    <m:r>
                      <m:rPr>
                        <m:nor/>
                        <m:sty m:val="p"/>
                      </m:rPr>
                      <w:rPr>
                        <w:b w:val="0"/>
                        <w:bCs/>
                        <w:i w:val="0"/>
                        <w:sz w:val="24"/>
                      </w:rPr>
                      <m:t>match</m:t>
                    </m:r>
                    <m:ctrlPr>
                      <w:rPr>
                        <w:rFonts w:ascii="Cambria Math" w:hAnsi="Cambria Math"/>
                        <w:b w:val="0"/>
                        <w:bCs w:val="0"/>
                        <w:sz w:val="24"/>
                      </w:rPr>
                    </m:ctrlPr>
                  </m:sub>
                </m:sSub>
                <m:r>
                  <m:rPr>
                    <m:nor/>
                    <m:sty m:val="p"/>
                  </m:rPr>
                  <w:rPr>
                    <w:b w:val="0"/>
                    <w:bCs/>
                    <w:i w:val="0"/>
                    <w:sz w:val="24"/>
                  </w:rPr>
                  <m:t>=</m:t>
                </m:r>
                <m:sSub>
                  <m:sSubPr>
                    <m:ctrlPr>
                      <w:rPr>
                        <w:rFonts w:ascii="Cambria Math" w:hAnsi="Cambria Math"/>
                        <w:b w:val="0"/>
                        <w:bCs w:val="0"/>
                        <w:sz w:val="24"/>
                      </w:rPr>
                    </m:ctrlPr>
                  </m:sSubPr>
                  <m:e>
                    <m:r>
                      <m:rPr>
                        <m:nor/>
                        <m:sty m:val="p"/>
                      </m:rPr>
                      <w:rPr>
                        <w:b w:val="0"/>
                        <w:bCs/>
                        <w:i w:val="0"/>
                        <w:sz w:val="24"/>
                      </w:rPr>
                      <m:t>λ</m:t>
                    </m:r>
                    <m:ctrlPr>
                      <w:rPr>
                        <w:rFonts w:ascii="Cambria Math" w:hAnsi="Cambria Math"/>
                        <w:b w:val="0"/>
                        <w:bCs w:val="0"/>
                        <w:sz w:val="24"/>
                      </w:rPr>
                    </m:ctrlPr>
                  </m:e>
                  <m:sub>
                    <m:r>
                      <m:rPr>
                        <m:nor/>
                        <m:sty m:val="p"/>
                      </m:rPr>
                      <w:rPr>
                        <w:b w:val="0"/>
                        <w:bCs/>
                        <w:i w:val="0"/>
                        <w:sz w:val="24"/>
                      </w:rPr>
                      <m:t>cls</m:t>
                    </m:r>
                    <m:ctrlPr>
                      <w:rPr>
                        <w:rFonts w:ascii="Cambria Math" w:hAnsi="Cambria Math"/>
                        <w:b w:val="0"/>
                        <w:bCs w:val="0"/>
                        <w:sz w:val="24"/>
                      </w:rPr>
                    </m:ctrlPr>
                  </m:sub>
                </m:sSub>
                <m:sSub>
                  <m:sSubPr>
                    <m:ctrlPr>
                      <w:rPr>
                        <w:rFonts w:ascii="Cambria Math" w:hAnsi="Cambria Math"/>
                        <w:b w:val="0"/>
                        <w:bCs w:val="0"/>
                        <w:sz w:val="24"/>
                      </w:rPr>
                    </m:ctrlPr>
                  </m:sSubPr>
                  <m:e>
                    <m:r>
                      <m:rPr>
                        <m:nor/>
                        <m:sty m:val="p"/>
                      </m:rPr>
                      <w:rPr>
                        <w:b w:val="0"/>
                        <w:bCs/>
                        <w:i w:val="0"/>
                        <w:sz w:val="24"/>
                      </w:rPr>
                      <m:t>L</m:t>
                    </m:r>
                    <m:ctrlPr>
                      <w:rPr>
                        <w:rFonts w:ascii="Cambria Math" w:hAnsi="Cambria Math"/>
                        <w:b w:val="0"/>
                        <w:bCs w:val="0"/>
                        <w:sz w:val="24"/>
                      </w:rPr>
                    </m:ctrlPr>
                  </m:e>
                  <m:sub>
                    <m:r>
                      <m:rPr>
                        <m:nor/>
                        <m:sty m:val="p"/>
                      </m:rPr>
                      <w:rPr>
                        <w:b w:val="0"/>
                        <w:bCs/>
                        <w:i w:val="0"/>
                        <w:sz w:val="24"/>
                      </w:rPr>
                      <m:t>cls</m:t>
                    </m:r>
                    <m:ctrlPr>
                      <w:rPr>
                        <w:rFonts w:ascii="Cambria Math" w:hAnsi="Cambria Math"/>
                        <w:b w:val="0"/>
                        <w:bCs w:val="0"/>
                        <w:sz w:val="24"/>
                      </w:rPr>
                    </m:ctrlPr>
                  </m:sub>
                </m:sSub>
                <m:r>
                  <m:rPr>
                    <m:nor/>
                    <m:sty m:val="p"/>
                  </m:rPr>
                  <w:rPr>
                    <w:b w:val="0"/>
                    <w:bCs/>
                    <w:i w:val="0"/>
                    <w:sz w:val="24"/>
                  </w:rPr>
                  <m:t>+</m:t>
                </m:r>
                <m:sSub>
                  <m:sSubPr>
                    <m:ctrlPr>
                      <w:rPr>
                        <w:rFonts w:ascii="Cambria Math" w:hAnsi="Cambria Math"/>
                        <w:b w:val="0"/>
                        <w:bCs w:val="0"/>
                        <w:sz w:val="24"/>
                      </w:rPr>
                    </m:ctrlPr>
                  </m:sSubPr>
                  <m:e>
                    <m:r>
                      <m:rPr>
                        <m:nor/>
                        <m:sty m:val="p"/>
                      </m:rPr>
                      <w:rPr>
                        <w:b w:val="0"/>
                        <w:bCs/>
                        <w:i w:val="0"/>
                        <w:sz w:val="24"/>
                      </w:rPr>
                      <m:t>λ</m:t>
                    </m:r>
                    <m:ctrlPr>
                      <w:rPr>
                        <w:rFonts w:ascii="Cambria Math" w:hAnsi="Cambria Math"/>
                        <w:b w:val="0"/>
                        <w:bCs w:val="0"/>
                        <w:sz w:val="24"/>
                      </w:rPr>
                    </m:ctrlPr>
                  </m:e>
                  <m:sub>
                    <m:r>
                      <m:rPr>
                        <m:nor/>
                        <m:sty m:val="p"/>
                      </m:rPr>
                      <w:rPr>
                        <w:b w:val="0"/>
                        <w:bCs/>
                        <w:i w:val="0"/>
                        <w:sz w:val="24"/>
                      </w:rPr>
                      <m:t>mask</m:t>
                    </m:r>
                    <m:ctrlPr>
                      <w:rPr>
                        <w:rFonts w:ascii="Cambria Math" w:hAnsi="Cambria Math"/>
                        <w:b w:val="0"/>
                        <w:bCs w:val="0"/>
                        <w:sz w:val="24"/>
                      </w:rPr>
                    </m:ctrlPr>
                  </m:sub>
                </m:sSub>
                <m:sSub>
                  <m:sSubPr>
                    <m:ctrlPr>
                      <w:rPr>
                        <w:rFonts w:ascii="Cambria Math" w:hAnsi="Cambria Math"/>
                        <w:b w:val="0"/>
                        <w:bCs w:val="0"/>
                        <w:sz w:val="24"/>
                      </w:rPr>
                    </m:ctrlPr>
                  </m:sSubPr>
                  <m:e>
                    <m:r>
                      <m:rPr>
                        <m:nor/>
                        <m:sty m:val="p"/>
                      </m:rPr>
                      <w:rPr>
                        <w:b w:val="0"/>
                        <w:bCs/>
                        <w:i w:val="0"/>
                        <w:sz w:val="24"/>
                      </w:rPr>
                      <m:t>L</m:t>
                    </m:r>
                    <m:ctrlPr>
                      <w:rPr>
                        <w:rFonts w:ascii="Cambria Math" w:hAnsi="Cambria Math"/>
                        <w:b w:val="0"/>
                        <w:bCs w:val="0"/>
                        <w:sz w:val="24"/>
                      </w:rPr>
                    </m:ctrlPr>
                  </m:e>
                  <m:sub>
                    <m:r>
                      <m:rPr>
                        <m:nor/>
                        <m:sty m:val="p"/>
                      </m:rPr>
                      <w:rPr>
                        <w:b w:val="0"/>
                        <w:bCs/>
                        <w:i w:val="0"/>
                        <w:sz w:val="24"/>
                      </w:rPr>
                      <m:t>mask</m:t>
                    </m:r>
                    <m:ctrlPr>
                      <w:rPr>
                        <w:rFonts w:ascii="Cambria Math" w:hAnsi="Cambria Math"/>
                        <w:b w:val="0"/>
                        <w:bCs w:val="0"/>
                        <w:sz w:val="24"/>
                      </w:rPr>
                    </m:ctrlPr>
                  </m:sub>
                </m:sSub>
                <m:r>
                  <m:rPr>
                    <m:nor/>
                    <m:sty m:val="p"/>
                  </m:rPr>
                  <w:rPr>
                    <w:b w:val="0"/>
                    <w:bCs/>
                    <w:i w:val="0"/>
                    <w:sz w:val="24"/>
                  </w:rPr>
                  <m:t>+</m:t>
                </m:r>
                <m:sSub>
                  <m:sSubPr>
                    <m:ctrlPr>
                      <w:rPr>
                        <w:rFonts w:ascii="Cambria Math" w:hAnsi="Cambria Math"/>
                        <w:b w:val="0"/>
                        <w:bCs w:val="0"/>
                        <w:sz w:val="24"/>
                      </w:rPr>
                    </m:ctrlPr>
                  </m:sSubPr>
                  <m:e>
                    <m:r>
                      <m:rPr>
                        <m:nor/>
                        <m:sty m:val="p"/>
                      </m:rPr>
                      <w:rPr>
                        <w:b w:val="0"/>
                        <w:bCs/>
                        <w:i w:val="0"/>
                        <w:sz w:val="24"/>
                      </w:rPr>
                      <m:t>λ</m:t>
                    </m:r>
                    <m:ctrlPr>
                      <w:rPr>
                        <w:rFonts w:ascii="Cambria Math" w:hAnsi="Cambria Math"/>
                        <w:b w:val="0"/>
                        <w:bCs w:val="0"/>
                        <w:sz w:val="24"/>
                      </w:rPr>
                    </m:ctrlPr>
                  </m:e>
                  <m:sub>
                    <m:r>
                      <m:rPr>
                        <m:nor/>
                        <m:sty m:val="p"/>
                      </m:rPr>
                      <w:rPr>
                        <w:b w:val="0"/>
                        <w:bCs/>
                        <w:i w:val="0"/>
                        <w:sz w:val="24"/>
                      </w:rPr>
                      <m:t>dice</m:t>
                    </m:r>
                    <m:ctrlPr>
                      <w:rPr>
                        <w:rFonts w:ascii="Cambria Math" w:hAnsi="Cambria Math"/>
                        <w:b w:val="0"/>
                        <w:bCs w:val="0"/>
                        <w:sz w:val="24"/>
                      </w:rPr>
                    </m:ctrlPr>
                  </m:sub>
                </m:sSub>
                <m:sSub>
                  <m:sSubPr>
                    <m:ctrlPr>
                      <w:rPr>
                        <w:rFonts w:ascii="Cambria Math" w:hAnsi="Cambria Math"/>
                        <w:b w:val="0"/>
                        <w:bCs w:val="0"/>
                        <w:sz w:val="24"/>
                      </w:rPr>
                    </m:ctrlPr>
                  </m:sSubPr>
                  <m:e>
                    <m:r>
                      <m:rPr>
                        <m:nor/>
                        <m:sty m:val="p"/>
                      </m:rPr>
                      <w:rPr>
                        <w:b w:val="0"/>
                        <w:bCs/>
                        <w:i w:val="0"/>
                        <w:sz w:val="24"/>
                      </w:rPr>
                      <m:t>L</m:t>
                    </m:r>
                    <m:ctrlPr>
                      <w:rPr>
                        <w:rFonts w:ascii="Cambria Math" w:hAnsi="Cambria Math"/>
                        <w:b w:val="0"/>
                        <w:bCs w:val="0"/>
                        <w:sz w:val="24"/>
                      </w:rPr>
                    </m:ctrlPr>
                  </m:e>
                  <m:sub>
                    <m:r>
                      <m:rPr>
                        <m:nor/>
                        <m:sty m:val="p"/>
                      </m:rPr>
                      <w:rPr>
                        <w:b w:val="0"/>
                        <w:bCs/>
                        <w:i w:val="0"/>
                        <w:sz w:val="24"/>
                      </w:rPr>
                      <m:t>dice</m:t>
                    </m:r>
                    <m:ctrlPr>
                      <w:rPr>
                        <w:rFonts w:ascii="Cambria Math" w:hAnsi="Cambria Math"/>
                        <w:b w:val="0"/>
                        <w:bCs w:val="0"/>
                        <w:sz w:val="24"/>
                      </w:rPr>
                    </m:ctrlPr>
                  </m:sub>
                </m:sSub>
              </m:oMath>
            </m:oMathPara>
          </w:p>
        </w:tc>
        <w:tc>
          <w:tcPr>
            <w:tcW w:w="852" w:type="dxa"/>
          </w:tcPr>
          <w:p w14:paraId="115C772A">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b/>
                <w:bCs/>
                <w:sz w:val="24"/>
              </w:rPr>
            </w:pPr>
            <w:r>
              <w:rPr>
                <w:rFonts w:hint="eastAsia"/>
                <w:b/>
                <w:bCs/>
              </w:rPr>
              <w:t>(2-3)</w:t>
            </w:r>
          </w:p>
        </w:tc>
      </w:tr>
    </w:tbl>
    <w:p w14:paraId="6C83EF6E">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并通过 eos_coef 对 no-object 类别进行重加权以平衡前景/背景约束。</w:t>
      </w:r>
    </w:p>
    <w:p w14:paraId="1C85395D">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hint="eastAsia"/>
          <w:sz w:val="24"/>
          <w:lang w:val="en-US" w:eastAsia="zh-CN"/>
        </w:rPr>
      </w:pPr>
      <w:r>
        <w:rPr>
          <w:sz w:val="24"/>
        </w:rPr>
        <w:t>主要超参数设置</w:t>
      </w:r>
      <w:r>
        <w:rPr>
          <w:rFonts w:hint="eastAsia"/>
          <w:sz w:val="24"/>
          <w:lang w:val="en-US" w:eastAsia="zh-CN"/>
        </w:rPr>
        <w:t>如下表。</w:t>
      </w:r>
    </w:p>
    <w:p w14:paraId="2F6507DC">
      <w:pPr>
        <w:keepNext w:val="0"/>
        <w:keepLines w:val="0"/>
        <w:pageBreakBefore w:val="0"/>
        <w:widowControl w:val="0"/>
        <w:kinsoku/>
        <w:wordWrap/>
        <w:overflowPunct/>
        <w:topLinePunct w:val="0"/>
        <w:autoSpaceDE/>
        <w:autoSpaceDN/>
        <w:bidi w:val="0"/>
        <w:adjustRightInd/>
        <w:snapToGrid/>
        <w:spacing w:line="360" w:lineRule="auto"/>
        <w:ind w:left="0" w:firstLine="420"/>
        <w:jc w:val="center"/>
        <w:textAlignment w:val="auto"/>
        <w:rPr>
          <w:rFonts w:hint="eastAsia"/>
          <w:sz w:val="24"/>
          <w:lang w:val="en-US" w:eastAsia="zh-CN"/>
        </w:rPr>
      </w:pPr>
      <w:r>
        <w:rPr>
          <w:rFonts w:hint="eastAsia" w:ascii="黑体" w:hAnsi="黑体" w:eastAsia="黑体" w:cs="黑体"/>
          <w:lang w:val="en-US" w:eastAsia="zh-CN"/>
        </w:rPr>
        <w:t>表</w:t>
      </w:r>
      <w:r>
        <w:rPr>
          <w:rFonts w:hint="eastAsia" w:ascii="黑体" w:hAnsi="黑体" w:eastAsia="黑体" w:cs="黑体"/>
        </w:rPr>
        <w:t>2-</w:t>
      </w:r>
      <w:r>
        <w:rPr>
          <w:rFonts w:hint="eastAsia" w:ascii="黑体" w:hAnsi="黑体" w:eastAsia="黑体" w:cs="黑体"/>
          <w:lang w:val="en-US" w:eastAsia="zh-CN"/>
        </w:rPr>
        <w:t>1</w:t>
      </w:r>
      <w:r>
        <w:rPr>
          <w:rFonts w:hint="eastAsia" w:ascii="黑体" w:hAnsi="黑体" w:eastAsia="黑体" w:cs="黑体"/>
        </w:rPr>
        <w:t xml:space="preserve"> </w:t>
      </w:r>
      <w:r>
        <w:rPr>
          <w:rFonts w:hint="eastAsia" w:ascii="黑体" w:hAnsi="黑体" w:eastAsia="黑体" w:cs="黑体"/>
          <w:lang w:val="en-US" w:eastAsia="zh-CN"/>
        </w:rPr>
        <w:t>超参数设置一览</w:t>
      </w:r>
    </w:p>
    <w:tbl>
      <w:tblPr>
        <w:tblStyle w:val="17"/>
        <w:tblW w:w="0" w:type="auto"/>
        <w:tblInd w:w="4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1"/>
        <w:gridCol w:w="4262"/>
      </w:tblGrid>
      <w:tr w14:paraId="027F6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1" w:type="dxa"/>
          </w:tcPr>
          <w:p w14:paraId="3DF65590">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sz w:val="24"/>
              </w:rPr>
            </w:pPr>
            <m:oMathPara>
              <m:oMath>
                <m:sSub>
                  <m:sSubPr>
                    <m:ctrlPr>
                      <w:rPr>
                        <w:rFonts w:ascii="Cambria Math" w:hAnsi="Cambria Math"/>
                        <w:sz w:val="24"/>
                      </w:rPr>
                    </m:ctrlPr>
                  </m:sSubPr>
                  <m:e>
                    <m:r>
                      <m:rPr>
                        <m:nor/>
                      </m:rPr>
                      <w:rPr>
                        <w:i/>
                        <w:sz w:val="24"/>
                      </w:rPr>
                      <m:t>λ</m:t>
                    </m:r>
                    <m:ctrlPr>
                      <w:rPr>
                        <w:rFonts w:ascii="Cambria Math" w:hAnsi="Cambria Math"/>
                        <w:sz w:val="24"/>
                      </w:rPr>
                    </m:ctrlPr>
                  </m:e>
                  <m:sub>
                    <m:r>
                      <m:rPr>
                        <m:nor/>
                      </m:rPr>
                      <w:rPr>
                        <w:i/>
                        <w:sz w:val="24"/>
                      </w:rPr>
                      <m:t>cls</m:t>
                    </m:r>
                    <m:ctrlPr>
                      <w:rPr>
                        <w:rFonts w:ascii="Cambria Math" w:hAnsi="Cambria Math"/>
                        <w:sz w:val="24"/>
                      </w:rPr>
                    </m:ctrlPr>
                  </m:sub>
                </m:sSub>
              </m:oMath>
            </m:oMathPara>
          </w:p>
        </w:tc>
        <w:tc>
          <w:tcPr>
            <w:tcW w:w="4262" w:type="dxa"/>
          </w:tcPr>
          <w:p w14:paraId="2E3D58AB">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sz w:val="24"/>
              </w:rPr>
            </w:pPr>
            <w:r>
              <w:rPr>
                <w:sz w:val="24"/>
              </w:rPr>
              <w:t>2.0</w:t>
            </w:r>
          </w:p>
        </w:tc>
      </w:tr>
      <w:tr w14:paraId="75658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1" w:type="dxa"/>
          </w:tcPr>
          <w:p w14:paraId="6D6F059B">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sz w:val="24"/>
                <w:vertAlign w:val="subscript"/>
              </w:rPr>
            </w:pPr>
            <m:oMathPara>
              <m:oMath>
                <m:sSub>
                  <m:sSubPr>
                    <m:ctrlPr>
                      <w:rPr>
                        <w:rFonts w:ascii="Cambria Math" w:hAnsi="Cambria Math"/>
                        <w:sz w:val="24"/>
                      </w:rPr>
                    </m:ctrlPr>
                  </m:sSubPr>
                  <m:e>
                    <m:r>
                      <m:rPr>
                        <m:nor/>
                      </m:rPr>
                      <w:rPr>
                        <w:i/>
                        <w:sz w:val="24"/>
                      </w:rPr>
                      <m:t>λ</m:t>
                    </m:r>
                    <m:ctrlPr>
                      <w:rPr>
                        <w:rFonts w:ascii="Cambria Math" w:hAnsi="Cambria Math"/>
                        <w:sz w:val="24"/>
                      </w:rPr>
                    </m:ctrlPr>
                  </m:e>
                  <m:sub>
                    <m:r>
                      <m:rPr>
                        <m:nor/>
                      </m:rPr>
                      <w:rPr>
                        <w:i/>
                        <w:sz w:val="24"/>
                      </w:rPr>
                      <m:t>mask</m:t>
                    </m:r>
                    <m:ctrlPr>
                      <w:rPr>
                        <w:rFonts w:ascii="Cambria Math" w:hAnsi="Cambria Math"/>
                        <w:sz w:val="24"/>
                      </w:rPr>
                    </m:ctrlPr>
                  </m:sub>
                </m:sSub>
              </m:oMath>
            </m:oMathPara>
          </w:p>
        </w:tc>
        <w:tc>
          <w:tcPr>
            <w:tcW w:w="4262" w:type="dxa"/>
          </w:tcPr>
          <w:p w14:paraId="5737091D">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sz w:val="24"/>
              </w:rPr>
            </w:pPr>
            <w:r>
              <w:rPr>
                <w:sz w:val="24"/>
              </w:rPr>
              <w:t>5.0</w:t>
            </w:r>
          </w:p>
        </w:tc>
      </w:tr>
      <w:tr w14:paraId="142FA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1" w:type="dxa"/>
          </w:tcPr>
          <w:p w14:paraId="53EE8986">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sz w:val="24"/>
              </w:rPr>
            </w:pPr>
            <m:oMathPara>
              <m:oMath>
                <m:sSub>
                  <m:sSubPr>
                    <m:ctrlPr>
                      <w:rPr>
                        <w:rFonts w:ascii="Cambria Math" w:hAnsi="Cambria Math"/>
                        <w:sz w:val="24"/>
                      </w:rPr>
                    </m:ctrlPr>
                  </m:sSubPr>
                  <m:e>
                    <m:r>
                      <m:rPr>
                        <m:nor/>
                      </m:rPr>
                      <w:rPr>
                        <w:i/>
                        <w:sz w:val="24"/>
                      </w:rPr>
                      <m:t>λ</m:t>
                    </m:r>
                    <m:ctrlPr>
                      <w:rPr>
                        <w:rFonts w:ascii="Cambria Math" w:hAnsi="Cambria Math"/>
                        <w:sz w:val="24"/>
                      </w:rPr>
                    </m:ctrlPr>
                  </m:e>
                  <m:sub>
                    <m:r>
                      <m:rPr>
                        <m:nor/>
                      </m:rPr>
                      <w:rPr>
                        <w:i/>
                        <w:sz w:val="24"/>
                      </w:rPr>
                      <m:t>dice</m:t>
                    </m:r>
                    <m:ctrlPr>
                      <w:rPr>
                        <w:rFonts w:ascii="Cambria Math" w:hAnsi="Cambria Math"/>
                        <w:sz w:val="24"/>
                      </w:rPr>
                    </m:ctrlPr>
                  </m:sub>
                </m:sSub>
              </m:oMath>
            </m:oMathPara>
          </w:p>
        </w:tc>
        <w:tc>
          <w:tcPr>
            <w:tcW w:w="4262" w:type="dxa"/>
          </w:tcPr>
          <w:p w14:paraId="011EC31C">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sz w:val="24"/>
              </w:rPr>
            </w:pPr>
            <w:r>
              <w:rPr>
                <w:sz w:val="24"/>
              </w:rPr>
              <w:t>5.0</w:t>
            </w:r>
          </w:p>
        </w:tc>
      </w:tr>
      <w:tr w14:paraId="74279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1" w:type="dxa"/>
          </w:tcPr>
          <w:p w14:paraId="03E9BA90">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sz w:val="24"/>
              </w:rPr>
            </w:pPr>
            <w:r>
              <w:rPr>
                <w:sz w:val="24"/>
              </w:rPr>
              <w:t>eos_coef</w:t>
            </w:r>
          </w:p>
        </w:tc>
        <w:tc>
          <w:tcPr>
            <w:tcW w:w="4262" w:type="dxa"/>
          </w:tcPr>
          <w:p w14:paraId="38A6DAE0">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sz w:val="24"/>
              </w:rPr>
            </w:pPr>
            <w:r>
              <w:rPr>
                <w:sz w:val="24"/>
              </w:rPr>
              <w:t>0.18</w:t>
            </w:r>
          </w:p>
        </w:tc>
      </w:tr>
      <w:tr w14:paraId="27ABC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1" w:type="dxa"/>
          </w:tcPr>
          <w:p w14:paraId="2E52ADEE">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sz w:val="24"/>
              </w:rPr>
            </w:pPr>
            <m:oMathPara>
              <m:oMath>
                <m:sSub>
                  <m:sSubPr>
                    <m:ctrlPr>
                      <w:rPr>
                        <w:rFonts w:ascii="Cambria Math" w:hAnsi="Cambria Math"/>
                        <w:sz w:val="24"/>
                      </w:rPr>
                    </m:ctrlPr>
                  </m:sSubPr>
                  <m:e>
                    <m:r>
                      <m:rPr>
                        <m:nor/>
                      </m:rPr>
                      <w:rPr>
                        <w:i/>
                        <w:sz w:val="24"/>
                      </w:rPr>
                      <m:t>λ</m:t>
                    </m:r>
                    <m:ctrlPr>
                      <w:rPr>
                        <w:rFonts w:ascii="Cambria Math" w:hAnsi="Cambria Math"/>
                        <w:sz w:val="24"/>
                      </w:rPr>
                    </m:ctrlPr>
                  </m:e>
                  <m:sub>
                    <m:r>
                      <m:rPr>
                        <m:nor/>
                      </m:rPr>
                      <w:rPr>
                        <w:i/>
                        <w:sz w:val="24"/>
                      </w:rPr>
                      <m:t>sem</m:t>
                    </m:r>
                    <m:ctrlPr>
                      <w:rPr>
                        <w:rFonts w:ascii="Cambria Math" w:hAnsi="Cambria Math"/>
                        <w:sz w:val="24"/>
                      </w:rPr>
                    </m:ctrlPr>
                  </m:sub>
                </m:sSub>
              </m:oMath>
            </m:oMathPara>
          </w:p>
        </w:tc>
        <w:tc>
          <w:tcPr>
            <w:tcW w:w="4262" w:type="dxa"/>
          </w:tcPr>
          <w:p w14:paraId="34E7476C">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sz w:val="24"/>
              </w:rPr>
            </w:pPr>
            <w:r>
              <w:rPr>
                <w:sz w:val="24"/>
              </w:rPr>
              <w:t>0.2</w:t>
            </w:r>
          </w:p>
        </w:tc>
      </w:tr>
      <w:tr w14:paraId="606BC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1" w:type="dxa"/>
          </w:tcPr>
          <w:p w14:paraId="0480DF43">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sz w:val="24"/>
                <w:vertAlign w:val="subscript"/>
              </w:rPr>
            </w:pPr>
            <m:oMathPara>
              <m:oMath>
                <m:sSub>
                  <m:sSubPr>
                    <m:ctrlPr>
                      <w:rPr>
                        <w:rFonts w:ascii="Cambria Math" w:hAnsi="Cambria Math"/>
                        <w:sz w:val="24"/>
                      </w:rPr>
                    </m:ctrlPr>
                  </m:sSubPr>
                  <m:e>
                    <m:r>
                      <m:rPr>
                        <m:nor/>
                      </m:rPr>
                      <w:rPr>
                        <w:i/>
                        <w:sz w:val="24"/>
                      </w:rPr>
                      <m:t>λ</m:t>
                    </m:r>
                    <m:ctrlPr>
                      <w:rPr>
                        <w:rFonts w:ascii="Cambria Math" w:hAnsi="Cambria Math"/>
                        <w:sz w:val="24"/>
                      </w:rPr>
                    </m:ctrlPr>
                  </m:e>
                  <m:sub>
                    <m:r>
                      <m:rPr>
                        <m:nor/>
                      </m:rPr>
                      <w:rPr>
                        <w:i/>
                        <w:sz w:val="24"/>
                      </w:rPr>
                      <m:t>bd</m:t>
                    </m:r>
                    <m:ctrlPr>
                      <w:rPr>
                        <w:rFonts w:ascii="Cambria Math" w:hAnsi="Cambria Math"/>
                        <w:sz w:val="24"/>
                      </w:rPr>
                    </m:ctrlPr>
                  </m:sub>
                </m:sSub>
              </m:oMath>
            </m:oMathPara>
          </w:p>
        </w:tc>
        <w:tc>
          <w:tcPr>
            <w:tcW w:w="4262" w:type="dxa"/>
          </w:tcPr>
          <w:p w14:paraId="5F01BAE5">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sz w:val="24"/>
              </w:rPr>
            </w:pPr>
            <w:r>
              <w:rPr>
                <w:sz w:val="24"/>
              </w:rPr>
              <w:t>0.1</w:t>
            </w:r>
          </w:p>
        </w:tc>
      </w:tr>
    </w:tbl>
    <w:p w14:paraId="1EA388AA">
      <w:pPr>
        <w:keepNext w:val="0"/>
        <w:keepLines w:val="0"/>
        <w:pageBreakBefore w:val="0"/>
        <w:widowControl w:val="0"/>
        <w:kinsoku/>
        <w:wordWrap/>
        <w:overflowPunct/>
        <w:topLinePunct w:val="0"/>
        <w:autoSpaceDE/>
        <w:autoSpaceDN/>
        <w:bidi w:val="0"/>
        <w:adjustRightInd/>
        <w:snapToGrid/>
        <w:spacing w:line="360" w:lineRule="auto"/>
        <w:ind w:left="0" w:firstLine="420"/>
        <w:jc w:val="center"/>
        <w:textAlignment w:val="auto"/>
        <w:rPr>
          <w:rFonts w:hint="eastAsia" w:ascii="黑体" w:hAnsi="黑体" w:eastAsia="黑体" w:cs="黑体"/>
          <w:lang w:val="en-US" w:eastAsia="zh-CN"/>
        </w:rPr>
      </w:pPr>
    </w:p>
    <w:p w14:paraId="438F87AA">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边界核大小为 3。这里的语义辅助项用于稳定像素级类别监督，边界辅助项用于提升病灶轮廓一致性，从而缓解过度外扩和边缘粗糙问题。</w:t>
      </w:r>
    </w:p>
    <w:p w14:paraId="74545A2C">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训练策略上，本文采用 AdamW 优化器与 WarmupOneCycleLR 调度，在总迭代 30000 步下进行 500 步 warmup 后进入余弦退火；基础学习率为 8×10</w:t>
      </w:r>
      <w:r>
        <w:rPr>
          <w:sz w:val="24"/>
          <w:vertAlign w:val="superscript"/>
        </w:rPr>
        <w:t>−5</w:t>
      </w:r>
      <w:r>
        <w:rPr>
          <w:sz w:val="24"/>
        </w:rPr>
        <w:t>，权重衰减为 1×10</w:t>
      </w:r>
      <w:r>
        <w:rPr>
          <w:sz w:val="24"/>
          <w:vertAlign w:val="superscript"/>
        </w:rPr>
        <w:t>−3</w:t>
      </w:r>
      <w:r>
        <w:rPr>
          <w:sz w:val="24"/>
        </w:rPr>
        <w:t>，并使用梯度裁剪（max norm=1.0）抑制训练震荡。为兼顾稳定性与收敛速度，骨干与分割头采用分组学习率，骨干学习率设为主学习率的 0.1 倍，且前 1200 次迭代将骨干参数组学习率置零实现“冻结”，之后自动恢复联合优化。计算上使用 BF16 自动混合精度与分布式训练；验证阶段采用滑窗推理（crop size=320，stride=224）并结合 TTA（0.75/1.0/1.25）提高预测稳定性。模型每 500 步在验证集上评估一次，以 mIoU 作为主保存指标并保留最佳权重，在连续 4 次评估无提升时触发早停。</w:t>
      </w:r>
    </w:p>
    <w:p w14:paraId="2688959F">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2C43BD93">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641AE312">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696AA1BC">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588A9060">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33F028BD">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p>
    <w:p w14:paraId="4A0FF45F">
      <w:pPr>
        <w:keepNext w:val="0"/>
        <w:keepLines w:val="0"/>
        <w:pageBreakBefore w:val="0"/>
        <w:widowControl w:val="0"/>
        <w:kinsoku/>
        <w:wordWrap/>
        <w:overflowPunct/>
        <w:topLinePunct w:val="0"/>
        <w:autoSpaceDE/>
        <w:autoSpaceDN/>
        <w:bidi w:val="0"/>
        <w:adjustRightInd/>
        <w:snapToGrid/>
        <w:spacing w:line="360" w:lineRule="auto"/>
        <w:textAlignment w:val="auto"/>
        <w:rPr>
          <w:sz w:val="24"/>
        </w:rPr>
      </w:pPr>
    </w:p>
    <w:p w14:paraId="63144CE2">
      <w:pPr>
        <w:keepNext w:val="0"/>
        <w:keepLines w:val="0"/>
        <w:pageBreakBefore w:val="0"/>
        <w:widowControl w:val="0"/>
        <w:numPr>
          <w:ilvl w:val="0"/>
          <w:numId w:val="0"/>
        </w:numPr>
        <w:kinsoku/>
        <w:wordWrap/>
        <w:overflowPunct/>
        <w:topLinePunct w:val="0"/>
        <w:autoSpaceDE/>
        <w:autoSpaceDN/>
        <w:bidi w:val="0"/>
        <w:adjustRightInd/>
        <w:snapToGrid/>
        <w:spacing w:before="160" w:after="100" w:line="360" w:lineRule="auto"/>
        <w:ind w:left="403" w:leftChars="0"/>
        <w:jc w:val="center"/>
        <w:textAlignment w:val="auto"/>
        <w:outlineLvl w:val="0"/>
        <w:rPr>
          <w:rFonts w:eastAsia="黑体"/>
          <w:b/>
          <w:bCs/>
          <w:sz w:val="32"/>
          <w:szCs w:val="32"/>
        </w:rPr>
      </w:pPr>
      <w:bookmarkStart w:id="65" w:name="_Toc17933"/>
      <w:bookmarkStart w:id="66" w:name="_Toc31613"/>
      <w:bookmarkStart w:id="67" w:name="_Toc23362"/>
      <w:bookmarkStart w:id="68" w:name="_Toc6987"/>
      <w:bookmarkStart w:id="69" w:name="_Toc21596"/>
      <w:r>
        <w:rPr>
          <w:rFonts w:hint="eastAsia" w:eastAsia="黑体"/>
          <w:b/>
          <w:bCs/>
          <w:sz w:val="32"/>
          <w:szCs w:val="32"/>
          <w:lang w:val="en-US" w:eastAsia="zh-CN"/>
        </w:rPr>
        <w:t xml:space="preserve">3 </w:t>
      </w:r>
      <w:r>
        <w:rPr>
          <w:rFonts w:eastAsia="黑体"/>
          <w:b/>
          <w:bCs/>
          <w:sz w:val="32"/>
          <w:szCs w:val="32"/>
        </w:rPr>
        <w:t>结果与讨论</w:t>
      </w:r>
      <w:bookmarkEnd w:id="65"/>
      <w:bookmarkEnd w:id="66"/>
      <w:bookmarkEnd w:id="67"/>
      <w:bookmarkEnd w:id="68"/>
      <w:bookmarkEnd w:id="69"/>
    </w:p>
    <w:p w14:paraId="1CD66088">
      <w:pPr>
        <w:keepNext w:val="0"/>
        <w:keepLines w:val="0"/>
        <w:pageBreakBefore w:val="0"/>
        <w:widowControl w:val="0"/>
        <w:numPr>
          <w:ilvl w:val="1"/>
          <w:numId w:val="0"/>
        </w:numPr>
        <w:kinsoku/>
        <w:wordWrap/>
        <w:overflowPunct/>
        <w:topLinePunct w:val="0"/>
        <w:autoSpaceDE/>
        <w:autoSpaceDN/>
        <w:bidi w:val="0"/>
        <w:adjustRightInd/>
        <w:snapToGrid/>
        <w:spacing w:before="100" w:after="100" w:line="360" w:lineRule="auto"/>
        <w:ind w:left="0"/>
        <w:textAlignment w:val="auto"/>
        <w:outlineLvl w:val="1"/>
        <w:rPr>
          <w:rFonts w:hint="default" w:ascii="Times New Roman" w:hAnsi="Times New Roman" w:eastAsia="黑体" w:cs="Times New Roman"/>
          <w:b/>
          <w:bCs/>
          <w:sz w:val="28"/>
          <w:szCs w:val="28"/>
        </w:rPr>
      </w:pPr>
      <w:bookmarkStart w:id="70" w:name="_Toc27095"/>
      <w:bookmarkStart w:id="71" w:name="_Toc8054"/>
      <w:bookmarkStart w:id="72" w:name="_Toc2793"/>
      <w:bookmarkStart w:id="73" w:name="_Toc12747"/>
      <w:r>
        <w:rPr>
          <w:rFonts w:hint="default" w:ascii="Times New Roman" w:hAnsi="Times New Roman" w:eastAsia="黑体" w:cs="Times New Roman"/>
          <w:b/>
          <w:bCs/>
          <w:sz w:val="28"/>
          <w:szCs w:val="28"/>
        </w:rPr>
        <w:t>3.1 实验数据集与评估指标</w:t>
      </w:r>
      <w:bookmarkEnd w:id="70"/>
      <w:bookmarkEnd w:id="71"/>
      <w:bookmarkEnd w:id="72"/>
      <w:bookmarkEnd w:id="73"/>
    </w:p>
    <w:p w14:paraId="6A19DFBA">
      <w:pPr>
        <w:keepNext w:val="0"/>
        <w:keepLines w:val="0"/>
        <w:pageBreakBefore w:val="0"/>
        <w:widowControl w:val="0"/>
        <w:kinsoku/>
        <w:wordWrap/>
        <w:overflowPunct/>
        <w:topLinePunct w:val="0"/>
        <w:autoSpaceDE/>
        <w:autoSpaceDN/>
        <w:bidi w:val="0"/>
        <w:adjustRightInd/>
        <w:snapToGrid/>
        <w:spacing w:before="100" w:after="100" w:line="360" w:lineRule="auto"/>
        <w:textAlignment w:val="auto"/>
        <w:outlineLvl w:val="2"/>
        <w:rPr>
          <w:rFonts w:hint="default" w:ascii="Times New Roman" w:hAnsi="Times New Roman" w:eastAsia="黑体" w:cs="Times New Roman"/>
          <w:b/>
          <w:bCs/>
          <w:sz w:val="24"/>
        </w:rPr>
      </w:pPr>
      <w:bookmarkStart w:id="74" w:name="_Toc5512"/>
      <w:bookmarkStart w:id="75" w:name="_Toc459"/>
      <w:r>
        <w:rPr>
          <w:rFonts w:hint="default" w:ascii="Times New Roman" w:hAnsi="Times New Roman" w:eastAsia="黑体" w:cs="Times New Roman"/>
          <w:b/>
          <w:bCs/>
          <w:sz w:val="24"/>
        </w:rPr>
        <w:t>3.1.1 实验数据集介绍与预处理</w:t>
      </w:r>
      <w:bookmarkEnd w:id="74"/>
      <w:bookmarkEnd w:id="75"/>
    </w:p>
    <w:p w14:paraId="7DA8C95E">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textAlignment w:val="auto"/>
        <w:outlineLvl w:val="9"/>
        <w:rPr>
          <w:sz w:val="24"/>
        </w:rPr>
      </w:pPr>
      <w:r>
        <w:rPr>
          <w:sz w:val="24"/>
        </w:rPr>
        <w:t xml:space="preserve">    </w:t>
      </w:r>
      <w:bookmarkStart w:id="76" w:name="_Toc25485"/>
      <w:r>
        <w:rPr>
          <w:sz w:val="24"/>
        </w:rPr>
        <w:t>为了客观验证本文所提精细化分割方法的性能，实验在皮肤病领域公认的两个基准数据集上进行：</w:t>
      </w:r>
      <w:bookmarkEnd w:id="76"/>
    </w:p>
    <w:p w14:paraId="4F42237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firstLine="420"/>
        <w:textAlignment w:val="auto"/>
        <w:outlineLvl w:val="9"/>
        <w:rPr>
          <w:sz w:val="24"/>
        </w:rPr>
      </w:pPr>
      <w:bookmarkStart w:id="77" w:name="_Toc7352"/>
      <w:r>
        <w:rPr>
          <w:b/>
          <w:bCs/>
          <w:sz w:val="24"/>
        </w:rPr>
        <w:t>HAM10000 数据集</w:t>
      </w:r>
      <w:r>
        <w:rPr>
          <w:rFonts w:hint="eastAsia"/>
          <w:lang w:val="en-US" w:eastAsia="zh-CN"/>
        </w:rPr>
        <w:t>[20]</w:t>
      </w:r>
      <w:r>
        <w:rPr>
          <w:b/>
          <w:bCs/>
          <w:sz w:val="24"/>
        </w:rPr>
        <w:t>：</w:t>
      </w:r>
      <w:r>
        <w:rPr>
          <w:sz w:val="24"/>
        </w:rPr>
        <w:t>该数据集共包含 10,015 张多源皮肤镜图像，涵盖了黑色素瘤、黑素细胞痣等 7 类色素性皮肤病变。鉴于该数据集在真实临床场景下的高度多样性，本文采用五折交叉验证（5-fold Cross-validation） 模式。将数据平均分为五个子集，轮流选取其中四个作为训练集，余下一个作为测试集，最终取五次实验的平均性能作为评估结果，以排除数据分布偏差对结论的影响。</w:t>
      </w:r>
      <w:bookmarkEnd w:id="77"/>
    </w:p>
    <w:p w14:paraId="37568F7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firstLine="482"/>
        <w:textAlignment w:val="auto"/>
        <w:outlineLvl w:val="9"/>
        <w:rPr>
          <w:sz w:val="24"/>
        </w:rPr>
      </w:pPr>
      <w:bookmarkStart w:id="78" w:name="_Toc31293"/>
      <w:r>
        <w:rPr>
          <w:sz w:val="24"/>
        </w:rPr>
        <w:t xml:space="preserve">在数据预处理阶段，考虑到皮肤镜图像受拍摄设备与病变差异的影响，本文实施了以下策略：首先，将所有原始图像统一调整为底座模型所需的标准尺寸（如 </w:t>
      </w:r>
      <m:oMath>
        <m:r>
          <m:rPr>
            <m:nor/>
            <m:sty m:val="p"/>
          </m:rPr>
          <w:rPr>
            <w:b w:val="0"/>
            <w:i w:val="0"/>
            <w:sz w:val="24"/>
          </w:rPr>
          <m:t>224×224</m:t>
        </m:r>
      </m:oMath>
      <w:r>
        <w:rPr>
          <w:sz w:val="24"/>
        </w:rPr>
        <w:t xml:space="preserve"> 或 </w:t>
      </w:r>
      <m:oMath>
        <m:r>
          <m:rPr>
            <m:nor/>
            <m:sty m:val="p"/>
          </m:rPr>
          <w:rPr>
            <w:b w:val="0"/>
            <w:i w:val="0"/>
            <w:sz w:val="24"/>
          </w:rPr>
          <m:t>384×384</m:t>
        </m:r>
      </m:oMath>
      <w:r>
        <w:rPr>
          <w:sz w:val="24"/>
        </w:rPr>
        <w:t>），并进行像素归一化处理。其次，为了增强模型对复杂干扰（如毛发、气泡、光照不均）的鲁棒性，引入了组合数据增强技术，包括随机水平/垂直翻转、</w:t>
      </w:r>
      <m:oMath>
        <m:r>
          <m:rPr>
            <m:nor/>
            <m:sty m:val="p"/>
          </m:rPr>
          <w:rPr>
            <w:b w:val="0"/>
            <w:i w:val="0"/>
            <w:sz w:val="24"/>
          </w:rPr>
          <m:t>±1</m:t>
        </m:r>
        <m:sSup>
          <m:sSupPr>
            <m:ctrlPr>
              <w:rPr>
                <w:rFonts w:ascii="Cambria Math" w:hAnsi="Cambria Math"/>
                <w:sz w:val="24"/>
              </w:rPr>
            </m:ctrlPr>
          </m:sSupPr>
          <m:e>
            <m:r>
              <m:rPr>
                <m:nor/>
                <m:sty m:val="p"/>
              </m:rPr>
              <w:rPr>
                <w:b w:val="0"/>
                <w:i w:val="0"/>
                <w:sz w:val="24"/>
              </w:rPr>
              <m:t>5</m:t>
            </m:r>
            <m:ctrlPr>
              <w:rPr>
                <w:rFonts w:ascii="Cambria Math" w:hAnsi="Cambria Math"/>
                <w:sz w:val="24"/>
              </w:rPr>
            </m:ctrlPr>
          </m:e>
          <m:sup>
            <m:r>
              <m:rPr>
                <m:nor/>
                <m:sty m:val="p"/>
              </m:rPr>
              <w:rPr>
                <w:b w:val="0"/>
                <w:i w:val="0"/>
                <w:sz w:val="24"/>
              </w:rPr>
              <m:t>∘</m:t>
            </m:r>
            <m:ctrlPr>
              <w:rPr>
                <w:rFonts w:ascii="Cambria Math" w:hAnsi="Cambria Math"/>
                <w:sz w:val="24"/>
              </w:rPr>
            </m:ctrlPr>
          </m:sup>
        </m:sSup>
      </m:oMath>
      <w:r>
        <w:rPr>
          <w:sz w:val="24"/>
        </w:rPr>
        <w:t>的随机旋转以及色彩明暗抖动（Color Jitter）。</w:t>
      </w:r>
      <w:bookmarkEnd w:id="78"/>
    </w:p>
    <w:p w14:paraId="0ECB049A">
      <w:pPr>
        <w:keepNext w:val="0"/>
        <w:keepLines w:val="0"/>
        <w:pageBreakBefore w:val="0"/>
        <w:widowControl w:val="0"/>
        <w:kinsoku/>
        <w:wordWrap/>
        <w:overflowPunct/>
        <w:topLinePunct w:val="0"/>
        <w:autoSpaceDE/>
        <w:autoSpaceDN/>
        <w:bidi w:val="0"/>
        <w:adjustRightInd/>
        <w:snapToGrid/>
        <w:spacing w:before="100" w:after="100" w:line="360" w:lineRule="auto"/>
        <w:textAlignment w:val="auto"/>
        <w:outlineLvl w:val="2"/>
        <w:rPr>
          <w:rFonts w:hint="eastAsia" w:ascii="Times New Roman" w:hAnsi="Times New Roman" w:eastAsia="黑体" w:cs="Times New Roman"/>
          <w:b/>
          <w:bCs/>
          <w:sz w:val="24"/>
        </w:rPr>
      </w:pPr>
      <w:bookmarkStart w:id="79" w:name="_Toc30641"/>
      <w:bookmarkStart w:id="80" w:name="_Toc12310"/>
      <w:r>
        <w:rPr>
          <w:rFonts w:hint="default" w:ascii="Times New Roman" w:hAnsi="Times New Roman" w:eastAsia="黑体" w:cs="Times New Roman"/>
          <w:b/>
          <w:bCs/>
          <w:sz w:val="24"/>
        </w:rPr>
        <w:t>3.1.2 评估指标及其临床意义</w:t>
      </w:r>
      <w:bookmarkEnd w:id="79"/>
      <w:bookmarkEnd w:id="80"/>
    </w:p>
    <w:p w14:paraId="45B5053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firstLine="480" w:firstLineChars="200"/>
        <w:textAlignment w:val="auto"/>
        <w:outlineLvl w:val="9"/>
        <w:rPr>
          <w:sz w:val="24"/>
        </w:rPr>
      </w:pPr>
      <w:bookmarkStart w:id="81" w:name="_Toc4816"/>
      <w:r>
        <w:rPr>
          <w:sz w:val="24"/>
        </w:rPr>
        <w:t>本文采用以下核心指标对分割精度进行多维度衡量，重点考察模型在病灶区域捕获与边缘细节刻画上的表现：</w:t>
      </w:r>
      <w:bookmarkEnd w:id="81"/>
    </w:p>
    <w:p w14:paraId="79C2971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firstLine="420" w:firstLineChars="200"/>
        <w:jc w:val="center"/>
        <w:textAlignment w:val="auto"/>
        <w:outlineLvl w:val="9"/>
        <w:rPr>
          <w:sz w:val="24"/>
        </w:rPr>
      </w:pPr>
      <w:r>
        <w:rPr>
          <w:rFonts w:hint="eastAsia" w:ascii="黑体" w:hAnsi="黑体" w:eastAsia="黑体" w:cs="黑体"/>
          <w:lang w:val="en-US" w:eastAsia="zh-CN"/>
        </w:rPr>
        <w:t>表3</w:t>
      </w:r>
      <w:r>
        <w:rPr>
          <w:rFonts w:hint="eastAsia" w:ascii="黑体" w:hAnsi="黑体" w:eastAsia="黑体" w:cs="黑体"/>
        </w:rPr>
        <w:t>-</w:t>
      </w:r>
      <w:r>
        <w:rPr>
          <w:rFonts w:hint="eastAsia" w:ascii="黑体" w:hAnsi="黑体" w:eastAsia="黑体" w:cs="黑体"/>
          <w:lang w:val="en-US" w:eastAsia="zh-CN"/>
        </w:rPr>
        <w:t>1</w:t>
      </w:r>
      <w:r>
        <w:rPr>
          <w:rFonts w:hint="eastAsia" w:ascii="黑体" w:hAnsi="黑体" w:eastAsia="黑体" w:cs="黑体"/>
        </w:rPr>
        <w:t xml:space="preserve"> </w:t>
      </w:r>
      <w:r>
        <w:rPr>
          <w:rFonts w:hint="eastAsia" w:ascii="黑体" w:hAnsi="黑体" w:eastAsia="黑体" w:cs="黑体"/>
          <w:lang w:val="en-US" w:eastAsia="zh-CN"/>
        </w:rPr>
        <w:t>评估指标一览</w:t>
      </w:r>
    </w:p>
    <w:tbl>
      <w:tblPr>
        <w:tblStyle w:val="17"/>
        <w:tblW w:w="0" w:type="auto"/>
        <w:tblInd w:w="4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6"/>
        <w:gridCol w:w="3047"/>
        <w:gridCol w:w="2691"/>
      </w:tblGrid>
      <w:tr w14:paraId="083C8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4" w:type="dxa"/>
          </w:tcPr>
          <w:p w14:paraId="4C96709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outlineLvl w:val="9"/>
              <w:rPr>
                <w:szCs w:val="21"/>
              </w:rPr>
            </w:pPr>
            <w:bookmarkStart w:id="82" w:name="_Toc4389"/>
            <w:r>
              <w:rPr>
                <w:szCs w:val="21"/>
              </w:rPr>
              <w:t>指标</w:t>
            </w:r>
            <w:bookmarkEnd w:id="82"/>
          </w:p>
        </w:tc>
        <w:tc>
          <w:tcPr>
            <w:tcW w:w="3190" w:type="dxa"/>
          </w:tcPr>
          <w:p w14:paraId="426A279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outlineLvl w:val="9"/>
              <w:rPr>
                <w:szCs w:val="21"/>
              </w:rPr>
            </w:pPr>
            <w:bookmarkStart w:id="83" w:name="_Toc27559"/>
            <w:r>
              <w:rPr>
                <w:szCs w:val="21"/>
              </w:rPr>
              <w:t>定义</w:t>
            </w:r>
            <w:bookmarkEnd w:id="83"/>
          </w:p>
        </w:tc>
        <w:tc>
          <w:tcPr>
            <w:tcW w:w="2987" w:type="dxa"/>
          </w:tcPr>
          <w:p w14:paraId="7D7EE5A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outlineLvl w:val="9"/>
              <w:rPr>
                <w:szCs w:val="21"/>
              </w:rPr>
            </w:pPr>
            <w:bookmarkStart w:id="84" w:name="_Toc4751"/>
            <w:r>
              <w:rPr>
                <w:szCs w:val="21"/>
              </w:rPr>
              <w:t>意义</w:t>
            </w:r>
            <w:bookmarkEnd w:id="84"/>
          </w:p>
        </w:tc>
      </w:tr>
      <w:tr w14:paraId="3B090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4" w:type="dxa"/>
          </w:tcPr>
          <w:p w14:paraId="151848C4">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outlineLvl w:val="9"/>
              <w:rPr>
                <w:szCs w:val="21"/>
              </w:rPr>
            </w:pPr>
            <w:bookmarkStart w:id="85" w:name="_Toc5568"/>
            <w:r>
              <w:rPr>
                <w:szCs w:val="21"/>
              </w:rPr>
              <w:t>Dice 相似系数 (DSC)</w:t>
            </w:r>
            <w:bookmarkEnd w:id="85"/>
          </w:p>
        </w:tc>
        <w:tc>
          <w:tcPr>
            <w:tcW w:w="3190" w:type="dxa"/>
          </w:tcPr>
          <w:tbl>
            <w:tblPr>
              <w:tblStyle w:val="27"/>
              <w:tblW w:w="5000" w:type="pct"/>
              <w:tblInd w:w="0" w:type="dxa"/>
              <w:tblLayout w:type="autofit"/>
              <w:tblCellMar>
                <w:top w:w="0" w:type="dxa"/>
                <w:left w:w="108" w:type="dxa"/>
                <w:bottom w:w="0" w:type="dxa"/>
                <w:right w:w="108" w:type="dxa"/>
              </w:tblCellMar>
            </w:tblPr>
            <w:tblGrid>
              <w:gridCol w:w="327"/>
              <w:gridCol w:w="1832"/>
              <w:gridCol w:w="672"/>
            </w:tblGrid>
            <w:tr w14:paraId="3D36E802">
              <w:tblPrEx>
                <w:tblCellMar>
                  <w:top w:w="0" w:type="dxa"/>
                  <w:left w:w="108" w:type="dxa"/>
                  <w:bottom w:w="0" w:type="dxa"/>
                  <w:right w:w="108" w:type="dxa"/>
                </w:tblCellMar>
              </w:tblPrEx>
              <w:trPr>
                <w:trHeight w:val="553" w:hRule="atLeast"/>
              </w:trPr>
              <w:tc>
                <w:tcPr>
                  <w:tcW w:w="852" w:type="dxa"/>
                </w:tcPr>
                <w:p w14:paraId="1BD41408">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b/>
                      <w:bCs/>
                      <w:sz w:val="24"/>
                    </w:rPr>
                  </w:pPr>
                </w:p>
              </w:tc>
              <w:tc>
                <w:tcPr>
                  <w:tcW w:w="6810" w:type="dxa"/>
                </w:tcPr>
                <w:p w14:paraId="321128E2">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b/>
                      <w:bCs/>
                      <w:sz w:val="24"/>
                    </w:rPr>
                  </w:pPr>
                  <m:oMathPara>
                    <m:oMath>
                      <m:r>
                        <m:rPr>
                          <m:nor/>
                          <m:sty m:val="bi"/>
                        </m:rPr>
                        <w:rPr>
                          <w:b/>
                          <w:bCs/>
                          <w:i/>
                          <w:szCs w:val="21"/>
                        </w:rPr>
                        <m:t>DSC</m:t>
                      </m:r>
                      <m:r>
                        <m:rPr>
                          <m:nor/>
                          <m:sty m:val="p"/>
                        </m:rPr>
                        <w:rPr>
                          <w:b w:val="0"/>
                          <w:bCs/>
                          <w:i w:val="0"/>
                          <w:szCs w:val="21"/>
                        </w:rPr>
                        <m:t>=</m:t>
                      </m:r>
                      <m:f>
                        <m:fPr>
                          <m:ctrlPr>
                            <w:rPr>
                              <w:rFonts w:ascii="Cambria Math" w:hAnsi="Cambria Math"/>
                              <w:b/>
                              <w:bCs/>
                              <w:szCs w:val="21"/>
                            </w:rPr>
                          </m:ctrlPr>
                        </m:fPr>
                        <m:num>
                          <m:r>
                            <m:rPr>
                              <m:nor/>
                              <m:sty m:val="p"/>
                            </m:rPr>
                            <w:rPr>
                              <w:b w:val="0"/>
                              <w:bCs/>
                              <w:i w:val="0"/>
                              <w:szCs w:val="21"/>
                            </w:rPr>
                            <m:t>2|</m:t>
                          </m:r>
                          <m:r>
                            <m:rPr>
                              <m:nor/>
                              <m:sty m:val="bi"/>
                            </m:rPr>
                            <w:rPr>
                              <w:b/>
                              <w:bCs/>
                              <w:i/>
                              <w:szCs w:val="21"/>
                            </w:rPr>
                            <m:t>P</m:t>
                          </m:r>
                          <m:r>
                            <m:rPr>
                              <m:nor/>
                              <m:sty m:val="p"/>
                            </m:rPr>
                            <w:rPr>
                              <w:b w:val="0"/>
                              <w:bCs/>
                              <w:i w:val="0"/>
                              <w:szCs w:val="21"/>
                            </w:rPr>
                            <m:t>∩</m:t>
                          </m:r>
                          <m:r>
                            <m:rPr>
                              <m:nor/>
                              <m:sty m:val="bi"/>
                            </m:rPr>
                            <w:rPr>
                              <w:b/>
                              <w:bCs/>
                              <w:i/>
                              <w:szCs w:val="21"/>
                            </w:rPr>
                            <m:t>G</m:t>
                          </m:r>
                          <m:r>
                            <m:rPr>
                              <m:nor/>
                              <m:sty m:val="p"/>
                            </m:rPr>
                            <w:rPr>
                              <w:b w:val="0"/>
                              <w:bCs/>
                              <w:i w:val="0"/>
                              <w:szCs w:val="21"/>
                            </w:rPr>
                            <m:t>|</m:t>
                          </m:r>
                          <m:ctrlPr>
                            <w:rPr>
                              <w:rFonts w:ascii="Cambria Math" w:hAnsi="Cambria Math"/>
                              <w:b/>
                              <w:bCs/>
                              <w:szCs w:val="21"/>
                            </w:rPr>
                          </m:ctrlPr>
                        </m:num>
                        <m:den>
                          <m:r>
                            <m:rPr>
                              <m:nor/>
                              <m:sty m:val="p"/>
                            </m:rPr>
                            <w:rPr>
                              <w:b w:val="0"/>
                              <w:bCs/>
                              <w:i w:val="0"/>
                              <w:szCs w:val="21"/>
                            </w:rPr>
                            <m:t>|</m:t>
                          </m:r>
                          <m:r>
                            <m:rPr>
                              <m:nor/>
                              <m:sty m:val="bi"/>
                            </m:rPr>
                            <w:rPr>
                              <w:b/>
                              <w:bCs/>
                              <w:i/>
                              <w:szCs w:val="21"/>
                            </w:rPr>
                            <m:t>P</m:t>
                          </m:r>
                          <m:r>
                            <m:rPr>
                              <m:nor/>
                              <m:sty m:val="p"/>
                            </m:rPr>
                            <w:rPr>
                              <w:b w:val="0"/>
                              <w:bCs/>
                              <w:i w:val="0"/>
                              <w:szCs w:val="21"/>
                            </w:rPr>
                            <m:t>|+|</m:t>
                          </m:r>
                          <m:r>
                            <m:rPr>
                              <m:nor/>
                              <m:sty m:val="bi"/>
                            </m:rPr>
                            <w:rPr>
                              <w:b/>
                              <w:bCs/>
                              <w:i/>
                              <w:szCs w:val="21"/>
                            </w:rPr>
                            <m:t>G</m:t>
                          </m:r>
                          <m:r>
                            <m:rPr>
                              <m:nor/>
                              <m:sty m:val="p"/>
                            </m:rPr>
                            <w:rPr>
                              <w:b w:val="0"/>
                              <w:bCs/>
                              <w:i w:val="0"/>
                              <w:szCs w:val="21"/>
                            </w:rPr>
                            <m:t>|</m:t>
                          </m:r>
                          <m:ctrlPr>
                            <w:rPr>
                              <w:rFonts w:ascii="Cambria Math" w:hAnsi="Cambria Math"/>
                              <w:b/>
                              <w:bCs/>
                              <w:szCs w:val="21"/>
                            </w:rPr>
                          </m:ctrlPr>
                        </m:den>
                      </m:f>
                    </m:oMath>
                  </m:oMathPara>
                </w:p>
              </w:tc>
              <w:tc>
                <w:tcPr>
                  <w:tcW w:w="852" w:type="dxa"/>
                </w:tcPr>
                <w:p w14:paraId="575A45DC">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b/>
                      <w:bCs/>
                      <w:sz w:val="24"/>
                    </w:rPr>
                  </w:pPr>
                  <w:r>
                    <w:rPr>
                      <w:rFonts w:hint="eastAsia"/>
                      <w:b/>
                      <w:bCs/>
                    </w:rPr>
                    <w:t>(3-1)</w:t>
                  </w:r>
                </w:p>
              </w:tc>
            </w:tr>
          </w:tbl>
          <w:p w14:paraId="5FAC49E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jc w:val="center"/>
              <w:textAlignment w:val="auto"/>
              <w:outlineLvl w:val="9"/>
              <w:rPr>
                <w:szCs w:val="21"/>
              </w:rPr>
            </w:pPr>
          </w:p>
        </w:tc>
        <w:tc>
          <w:tcPr>
            <w:tcW w:w="2987" w:type="dxa"/>
          </w:tcPr>
          <w:p w14:paraId="6F9B7CA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textAlignment w:val="auto"/>
              <w:outlineLvl w:val="9"/>
              <w:rPr>
                <w:szCs w:val="21"/>
              </w:rPr>
            </w:pPr>
            <w:bookmarkStart w:id="86" w:name="_Toc4833"/>
            <w:r>
              <w:rPr>
                <w:szCs w:val="21"/>
              </w:rPr>
              <w:t>评价医学影像分割最核心的指标，用于衡量预测区域与真实标注之间的重叠程度</w:t>
            </w:r>
            <w:bookmarkEnd w:id="86"/>
          </w:p>
        </w:tc>
      </w:tr>
      <w:tr w14:paraId="312C8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4" w:type="dxa"/>
          </w:tcPr>
          <w:p w14:paraId="654FEA2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outlineLvl w:val="9"/>
              <w:rPr>
                <w:szCs w:val="21"/>
              </w:rPr>
            </w:pPr>
            <w:bookmarkStart w:id="87" w:name="_Toc31758"/>
            <w:r>
              <w:rPr>
                <w:szCs w:val="21"/>
              </w:rPr>
              <w:t>Jaccard 指数 (IoU)</w:t>
            </w:r>
            <w:bookmarkEnd w:id="87"/>
          </w:p>
        </w:tc>
        <w:tc>
          <w:tcPr>
            <w:tcW w:w="3190" w:type="dxa"/>
          </w:tcPr>
          <w:tbl>
            <w:tblPr>
              <w:tblStyle w:val="27"/>
              <w:tblW w:w="5000" w:type="pct"/>
              <w:tblInd w:w="0" w:type="dxa"/>
              <w:tblLayout w:type="autofit"/>
              <w:tblCellMar>
                <w:top w:w="0" w:type="dxa"/>
                <w:left w:w="108" w:type="dxa"/>
                <w:bottom w:w="0" w:type="dxa"/>
                <w:right w:w="108" w:type="dxa"/>
              </w:tblCellMar>
            </w:tblPr>
            <w:tblGrid>
              <w:gridCol w:w="343"/>
              <w:gridCol w:w="1826"/>
              <w:gridCol w:w="662"/>
            </w:tblGrid>
            <w:tr w14:paraId="087202B1">
              <w:tblPrEx>
                <w:tblCellMar>
                  <w:top w:w="0" w:type="dxa"/>
                  <w:left w:w="108" w:type="dxa"/>
                  <w:bottom w:w="0" w:type="dxa"/>
                  <w:right w:w="108" w:type="dxa"/>
                </w:tblCellMar>
              </w:tblPrEx>
              <w:trPr>
                <w:trHeight w:val="553" w:hRule="atLeast"/>
              </w:trPr>
              <w:tc>
                <w:tcPr>
                  <w:tcW w:w="343" w:type="dxa"/>
                </w:tcPr>
                <w:p w14:paraId="5D6E3247">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b/>
                      <w:bCs/>
                      <w:sz w:val="24"/>
                    </w:rPr>
                  </w:pPr>
                </w:p>
              </w:tc>
              <w:tc>
                <w:tcPr>
                  <w:tcW w:w="1826" w:type="dxa"/>
                </w:tcPr>
                <w:p w14:paraId="678BB857">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b/>
                      <w:bCs/>
                      <w:sz w:val="24"/>
                    </w:rPr>
                  </w:pPr>
                  <m:oMathPara>
                    <m:oMath>
                      <m:r>
                        <m:rPr>
                          <m:nor/>
                          <m:sty m:val="bi"/>
                        </m:rPr>
                        <w:rPr>
                          <w:b/>
                          <w:bCs/>
                          <w:i/>
                          <w:szCs w:val="21"/>
                        </w:rPr>
                        <m:t>IoU</m:t>
                      </m:r>
                      <m:r>
                        <m:rPr>
                          <m:nor/>
                          <m:sty m:val="p"/>
                        </m:rPr>
                        <w:rPr>
                          <w:b w:val="0"/>
                          <w:bCs/>
                          <w:i w:val="0"/>
                          <w:szCs w:val="21"/>
                        </w:rPr>
                        <m:t>=</m:t>
                      </m:r>
                      <m:f>
                        <m:fPr>
                          <m:ctrlPr>
                            <w:rPr>
                              <w:rFonts w:ascii="Cambria Math" w:hAnsi="Cambria Math"/>
                              <w:b/>
                              <w:bCs/>
                              <w:szCs w:val="21"/>
                            </w:rPr>
                          </m:ctrlPr>
                        </m:fPr>
                        <m:num>
                          <m:r>
                            <m:rPr>
                              <m:nor/>
                              <m:sty m:val="p"/>
                            </m:rPr>
                            <w:rPr>
                              <w:b w:val="0"/>
                              <w:bCs/>
                              <w:i w:val="0"/>
                              <w:szCs w:val="21"/>
                            </w:rPr>
                            <m:t>|</m:t>
                          </m:r>
                          <m:r>
                            <m:rPr>
                              <m:nor/>
                              <m:sty m:val="bi"/>
                            </m:rPr>
                            <w:rPr>
                              <w:b/>
                              <w:bCs/>
                              <w:i/>
                              <w:szCs w:val="21"/>
                            </w:rPr>
                            <m:t>P</m:t>
                          </m:r>
                          <m:r>
                            <m:rPr>
                              <m:nor/>
                              <m:sty m:val="p"/>
                            </m:rPr>
                            <w:rPr>
                              <w:b w:val="0"/>
                              <w:bCs/>
                              <w:i w:val="0"/>
                              <w:szCs w:val="21"/>
                            </w:rPr>
                            <m:t>∩</m:t>
                          </m:r>
                          <m:r>
                            <m:rPr>
                              <m:nor/>
                              <m:sty m:val="bi"/>
                            </m:rPr>
                            <w:rPr>
                              <w:b/>
                              <w:bCs/>
                              <w:i/>
                              <w:szCs w:val="21"/>
                            </w:rPr>
                            <m:t>G</m:t>
                          </m:r>
                          <m:r>
                            <m:rPr>
                              <m:nor/>
                              <m:sty m:val="p"/>
                            </m:rPr>
                            <w:rPr>
                              <w:b w:val="0"/>
                              <w:bCs/>
                              <w:i w:val="0"/>
                              <w:szCs w:val="21"/>
                            </w:rPr>
                            <m:t>|</m:t>
                          </m:r>
                          <m:ctrlPr>
                            <w:rPr>
                              <w:rFonts w:ascii="Cambria Math" w:hAnsi="Cambria Math"/>
                              <w:b/>
                              <w:bCs/>
                              <w:szCs w:val="21"/>
                            </w:rPr>
                          </m:ctrlPr>
                        </m:num>
                        <m:den>
                          <m:r>
                            <m:rPr>
                              <m:nor/>
                              <m:sty m:val="p"/>
                            </m:rPr>
                            <w:rPr>
                              <w:b w:val="0"/>
                              <w:bCs/>
                              <w:i w:val="0"/>
                              <w:szCs w:val="21"/>
                            </w:rPr>
                            <m:t>|</m:t>
                          </m:r>
                          <m:r>
                            <m:rPr>
                              <m:nor/>
                              <m:sty m:val="bi"/>
                            </m:rPr>
                            <w:rPr>
                              <w:b/>
                              <w:bCs/>
                              <w:i/>
                              <w:szCs w:val="21"/>
                            </w:rPr>
                            <m:t>P</m:t>
                          </m:r>
                          <m:r>
                            <m:rPr>
                              <m:nor/>
                              <m:sty m:val="p"/>
                            </m:rPr>
                            <w:rPr>
                              <w:b w:val="0"/>
                              <w:bCs/>
                              <w:i w:val="0"/>
                              <w:szCs w:val="21"/>
                            </w:rPr>
                            <m:t>∪</m:t>
                          </m:r>
                          <m:r>
                            <m:rPr>
                              <m:nor/>
                              <m:sty m:val="bi"/>
                            </m:rPr>
                            <w:rPr>
                              <w:b/>
                              <w:bCs/>
                              <w:i/>
                              <w:szCs w:val="21"/>
                            </w:rPr>
                            <m:t>G</m:t>
                          </m:r>
                          <m:r>
                            <m:rPr>
                              <m:nor/>
                              <m:sty m:val="p"/>
                            </m:rPr>
                            <w:rPr>
                              <w:b w:val="0"/>
                              <w:bCs/>
                              <w:i w:val="0"/>
                              <w:szCs w:val="21"/>
                            </w:rPr>
                            <m:t>|</m:t>
                          </m:r>
                          <m:ctrlPr>
                            <w:rPr>
                              <w:rFonts w:ascii="Cambria Math" w:hAnsi="Cambria Math"/>
                              <w:b/>
                              <w:bCs/>
                              <w:szCs w:val="21"/>
                            </w:rPr>
                          </m:ctrlPr>
                        </m:den>
                      </m:f>
                    </m:oMath>
                  </m:oMathPara>
                </w:p>
              </w:tc>
              <w:tc>
                <w:tcPr>
                  <w:tcW w:w="662" w:type="dxa"/>
                </w:tcPr>
                <w:p w14:paraId="762BC6AE">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b/>
                      <w:bCs/>
                      <w:sz w:val="24"/>
                    </w:rPr>
                  </w:pPr>
                  <w:r>
                    <w:rPr>
                      <w:rFonts w:hint="eastAsia"/>
                      <w:b/>
                      <w:bCs/>
                    </w:rPr>
                    <w:t>(3-</w:t>
                  </w:r>
                  <w:r>
                    <w:rPr>
                      <w:b/>
                      <w:bCs/>
                    </w:rPr>
                    <w:fldChar w:fldCharType="begin"/>
                  </w:r>
                  <w:r>
                    <w:rPr>
                      <w:b/>
                      <w:bCs/>
                    </w:rPr>
                    <w:instrText xml:space="preserve"> SEQ Equation \* ARABIC </w:instrText>
                  </w:r>
                  <w:r>
                    <w:rPr>
                      <w:b/>
                      <w:bCs/>
                    </w:rPr>
                    <w:fldChar w:fldCharType="separate"/>
                  </w:r>
                  <w:r>
                    <w:rPr>
                      <w:b/>
                      <w:bCs/>
                    </w:rPr>
                    <w:t>2</w:t>
                  </w:r>
                  <w:r>
                    <w:rPr>
                      <w:b/>
                      <w:bCs/>
                    </w:rPr>
                    <w:fldChar w:fldCharType="end"/>
                  </w:r>
                  <w:r>
                    <w:rPr>
                      <w:rFonts w:hint="eastAsia"/>
                      <w:b/>
                      <w:bCs/>
                    </w:rPr>
                    <w:t>)</w:t>
                  </w:r>
                </w:p>
              </w:tc>
            </w:tr>
          </w:tbl>
          <w:p w14:paraId="45D700A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jc w:val="center"/>
              <w:textAlignment w:val="auto"/>
              <w:outlineLvl w:val="9"/>
              <w:rPr>
                <w:szCs w:val="21"/>
              </w:rPr>
            </w:pPr>
          </w:p>
        </w:tc>
        <w:tc>
          <w:tcPr>
            <w:tcW w:w="2987" w:type="dxa"/>
          </w:tcPr>
          <w:p w14:paraId="64411E1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textAlignment w:val="auto"/>
              <w:outlineLvl w:val="9"/>
              <w:rPr>
                <w:szCs w:val="21"/>
              </w:rPr>
            </w:pPr>
            <w:bookmarkStart w:id="88" w:name="_Toc201"/>
            <w:r>
              <w:rPr>
                <w:szCs w:val="21"/>
              </w:rPr>
              <w:t>该指标通过交并比评估模型对病灶整体结构的定位精度</w:t>
            </w:r>
            <w:bookmarkEnd w:id="88"/>
          </w:p>
        </w:tc>
      </w:tr>
      <w:tr w14:paraId="65021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4" w:type="dxa"/>
          </w:tcPr>
          <w:p w14:paraId="139ACF1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outlineLvl w:val="9"/>
              <w:rPr>
                <w:szCs w:val="21"/>
              </w:rPr>
            </w:pPr>
            <w:bookmarkStart w:id="89" w:name="_Toc19462"/>
            <w:r>
              <w:rPr>
                <w:szCs w:val="21"/>
              </w:rPr>
              <w:t>精确率 (Precision)</w:t>
            </w:r>
            <w:bookmarkEnd w:id="89"/>
          </w:p>
        </w:tc>
        <w:tc>
          <w:tcPr>
            <w:tcW w:w="3190" w:type="dxa"/>
          </w:tcPr>
          <w:tbl>
            <w:tblPr>
              <w:tblStyle w:val="27"/>
              <w:tblW w:w="5000" w:type="pct"/>
              <w:tblInd w:w="0" w:type="dxa"/>
              <w:tblLayout w:type="autofit"/>
              <w:tblCellMar>
                <w:top w:w="0" w:type="dxa"/>
                <w:left w:w="108" w:type="dxa"/>
                <w:bottom w:w="0" w:type="dxa"/>
                <w:right w:w="108" w:type="dxa"/>
              </w:tblCellMar>
            </w:tblPr>
            <w:tblGrid>
              <w:gridCol w:w="316"/>
              <w:gridCol w:w="1862"/>
              <w:gridCol w:w="653"/>
            </w:tblGrid>
            <w:tr w14:paraId="416E6441">
              <w:tblPrEx>
                <w:tblCellMar>
                  <w:top w:w="0" w:type="dxa"/>
                  <w:left w:w="108" w:type="dxa"/>
                  <w:bottom w:w="0" w:type="dxa"/>
                  <w:right w:w="108" w:type="dxa"/>
                </w:tblCellMar>
              </w:tblPrEx>
              <w:trPr>
                <w:trHeight w:val="553" w:hRule="atLeast"/>
              </w:trPr>
              <w:tc>
                <w:tcPr>
                  <w:tcW w:w="316" w:type="dxa"/>
                </w:tcPr>
                <w:p w14:paraId="01416AC6">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b/>
                      <w:bCs/>
                      <w:sz w:val="24"/>
                    </w:rPr>
                  </w:pPr>
                </w:p>
              </w:tc>
              <w:tc>
                <w:tcPr>
                  <w:tcW w:w="1862" w:type="dxa"/>
                </w:tcPr>
                <w:p w14:paraId="45A9F0FE">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b/>
                      <w:bCs/>
                      <w:sz w:val="24"/>
                    </w:rPr>
                  </w:pPr>
                  <m:oMathPara>
                    <m:oMath>
                      <m:r>
                        <m:rPr>
                          <m:nor/>
                          <m:sty m:val="bi"/>
                        </m:rPr>
                        <w:rPr>
                          <w:b/>
                          <w:bCs/>
                          <w:i/>
                          <w:szCs w:val="21"/>
                        </w:rPr>
                        <m:t>Precision</m:t>
                      </m:r>
                      <m:r>
                        <m:rPr>
                          <m:nor/>
                          <m:sty m:val="p"/>
                        </m:rPr>
                        <w:rPr>
                          <w:b w:val="0"/>
                          <w:bCs/>
                          <w:i w:val="0"/>
                          <w:szCs w:val="21"/>
                        </w:rPr>
                        <m:t>=</m:t>
                      </m:r>
                      <m:f>
                        <m:fPr>
                          <m:ctrlPr>
                            <w:rPr>
                              <w:rFonts w:ascii="Cambria Math" w:hAnsi="Cambria Math"/>
                              <w:b/>
                              <w:bCs/>
                              <w:szCs w:val="21"/>
                            </w:rPr>
                          </m:ctrlPr>
                        </m:fPr>
                        <m:num>
                          <m:r>
                            <m:rPr>
                              <m:nor/>
                              <m:sty m:val="bi"/>
                            </m:rPr>
                            <w:rPr>
                              <w:b/>
                              <w:bCs/>
                              <w:i/>
                              <w:szCs w:val="21"/>
                            </w:rPr>
                            <m:t>TP</m:t>
                          </m:r>
                          <m:ctrlPr>
                            <w:rPr>
                              <w:rFonts w:ascii="Cambria Math" w:hAnsi="Cambria Math"/>
                              <w:b/>
                              <w:bCs/>
                              <w:szCs w:val="21"/>
                            </w:rPr>
                          </m:ctrlPr>
                        </m:num>
                        <m:den>
                          <m:r>
                            <m:rPr>
                              <m:nor/>
                              <m:sty m:val="bi"/>
                            </m:rPr>
                            <w:rPr>
                              <w:b/>
                              <w:bCs/>
                              <w:i/>
                              <w:szCs w:val="21"/>
                            </w:rPr>
                            <m:t>TP</m:t>
                          </m:r>
                          <m:r>
                            <m:rPr>
                              <m:nor/>
                              <m:sty m:val="p"/>
                            </m:rPr>
                            <w:rPr>
                              <w:b w:val="0"/>
                              <w:bCs/>
                              <w:i w:val="0"/>
                              <w:szCs w:val="21"/>
                            </w:rPr>
                            <m:t>+</m:t>
                          </m:r>
                          <m:r>
                            <m:rPr>
                              <m:nor/>
                              <m:sty m:val="bi"/>
                            </m:rPr>
                            <w:rPr>
                              <w:b/>
                              <w:bCs/>
                              <w:i/>
                              <w:szCs w:val="21"/>
                            </w:rPr>
                            <m:t>FP</m:t>
                          </m:r>
                          <m:ctrlPr>
                            <w:rPr>
                              <w:rFonts w:ascii="Cambria Math" w:hAnsi="Cambria Math"/>
                              <w:b/>
                              <w:bCs/>
                              <w:szCs w:val="21"/>
                            </w:rPr>
                          </m:ctrlPr>
                        </m:den>
                      </m:f>
                    </m:oMath>
                  </m:oMathPara>
                </w:p>
              </w:tc>
              <w:tc>
                <w:tcPr>
                  <w:tcW w:w="653" w:type="dxa"/>
                </w:tcPr>
                <w:p w14:paraId="238F098E">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b/>
                      <w:bCs/>
                      <w:sz w:val="24"/>
                    </w:rPr>
                  </w:pPr>
                  <w:r>
                    <w:rPr>
                      <w:rFonts w:hint="eastAsia"/>
                      <w:b/>
                      <w:bCs/>
                    </w:rPr>
                    <w:t>(</w:t>
                  </w:r>
                  <w:r>
                    <w:rPr>
                      <w:b/>
                      <w:bCs/>
                    </w:rPr>
                    <w:fldChar w:fldCharType="begin"/>
                  </w:r>
                  <w:r>
                    <w:rPr>
                      <w:b/>
                      <w:bCs/>
                    </w:rPr>
                    <w:instrText xml:space="preserve"> SEQ Equation \* ARABIC </w:instrText>
                  </w:r>
                  <w:r>
                    <w:rPr>
                      <w:b/>
                      <w:bCs/>
                    </w:rPr>
                    <w:fldChar w:fldCharType="separate"/>
                  </w:r>
                  <w:r>
                    <w:rPr>
                      <w:b/>
                      <w:bCs/>
                    </w:rPr>
                    <w:t>3</w:t>
                  </w:r>
                  <w:r>
                    <w:rPr>
                      <w:b/>
                      <w:bCs/>
                    </w:rPr>
                    <w:fldChar w:fldCharType="end"/>
                  </w:r>
                  <w:r>
                    <w:rPr>
                      <w:rFonts w:hint="eastAsia"/>
                      <w:b/>
                      <w:bCs/>
                    </w:rPr>
                    <w:t>-3)</w:t>
                  </w:r>
                </w:p>
              </w:tc>
            </w:tr>
          </w:tbl>
          <w:p w14:paraId="3506B4D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jc w:val="center"/>
              <w:textAlignment w:val="auto"/>
              <w:outlineLvl w:val="9"/>
              <w:rPr>
                <w:szCs w:val="21"/>
              </w:rPr>
            </w:pPr>
          </w:p>
        </w:tc>
        <w:tc>
          <w:tcPr>
            <w:tcW w:w="2987" w:type="dxa"/>
          </w:tcPr>
          <w:p w14:paraId="5D53702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textAlignment w:val="auto"/>
              <w:outlineLvl w:val="9"/>
              <w:rPr>
                <w:szCs w:val="21"/>
              </w:rPr>
            </w:pPr>
            <w:bookmarkStart w:id="90" w:name="_Toc20342"/>
            <w:r>
              <w:rPr>
                <w:szCs w:val="21"/>
              </w:rPr>
              <w:t>反映预测为病灶的像素中，真实病灶所占的比例，能够评估模型对背景噪声（如皮肤纹理、伪影）的过滤能力</w:t>
            </w:r>
            <w:bookmarkEnd w:id="90"/>
          </w:p>
        </w:tc>
      </w:tr>
      <w:tr w14:paraId="43F1B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4" w:type="dxa"/>
          </w:tcPr>
          <w:p w14:paraId="1CBD93E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outlineLvl w:val="9"/>
              <w:rPr>
                <w:szCs w:val="21"/>
              </w:rPr>
            </w:pPr>
            <w:bookmarkStart w:id="91" w:name="_Toc351"/>
            <w:r>
              <w:rPr>
                <w:szCs w:val="21"/>
              </w:rPr>
              <w:t>召回率 (Recall)</w:t>
            </w:r>
            <w:bookmarkEnd w:id="91"/>
          </w:p>
        </w:tc>
        <w:tc>
          <w:tcPr>
            <w:tcW w:w="3190" w:type="dxa"/>
          </w:tcPr>
          <w:tbl>
            <w:tblPr>
              <w:tblStyle w:val="27"/>
              <w:tblW w:w="5000" w:type="pct"/>
              <w:tblInd w:w="0" w:type="dxa"/>
              <w:tblLayout w:type="autofit"/>
              <w:tblCellMar>
                <w:top w:w="0" w:type="dxa"/>
                <w:left w:w="108" w:type="dxa"/>
                <w:bottom w:w="0" w:type="dxa"/>
                <w:right w:w="108" w:type="dxa"/>
              </w:tblCellMar>
            </w:tblPr>
            <w:tblGrid>
              <w:gridCol w:w="337"/>
              <w:gridCol w:w="1815"/>
              <w:gridCol w:w="679"/>
            </w:tblGrid>
            <w:tr w14:paraId="52DE920F">
              <w:tblPrEx>
                <w:tblCellMar>
                  <w:top w:w="0" w:type="dxa"/>
                  <w:left w:w="108" w:type="dxa"/>
                  <w:bottom w:w="0" w:type="dxa"/>
                  <w:right w:w="108" w:type="dxa"/>
                </w:tblCellMar>
              </w:tblPrEx>
              <w:trPr>
                <w:trHeight w:val="553" w:hRule="atLeast"/>
              </w:trPr>
              <w:tc>
                <w:tcPr>
                  <w:tcW w:w="337" w:type="dxa"/>
                </w:tcPr>
                <w:p w14:paraId="6E0C9A89">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b/>
                      <w:bCs/>
                      <w:sz w:val="24"/>
                    </w:rPr>
                  </w:pPr>
                </w:p>
              </w:tc>
              <w:tc>
                <w:tcPr>
                  <w:tcW w:w="1815" w:type="dxa"/>
                </w:tcPr>
                <w:p w14:paraId="74915BFF">
                  <w:pPr>
                    <w:keepNext w:val="0"/>
                    <w:keepLines w:val="0"/>
                    <w:pageBreakBefore w:val="0"/>
                    <w:widowControl w:val="0"/>
                    <w:kinsoku/>
                    <w:wordWrap/>
                    <w:overflowPunct/>
                    <w:topLinePunct w:val="0"/>
                    <w:autoSpaceDE/>
                    <w:autoSpaceDN/>
                    <w:bidi w:val="0"/>
                    <w:adjustRightInd/>
                    <w:snapToGrid/>
                    <w:spacing w:line="360" w:lineRule="auto"/>
                    <w:ind w:left="0"/>
                    <w:textAlignment w:val="auto"/>
                    <w:rPr>
                      <w:rFonts w:hint="eastAsia"/>
                      <w:b/>
                      <w:bCs/>
                      <w:sz w:val="24"/>
                    </w:rPr>
                  </w:pPr>
                  <m:oMathPara>
                    <m:oMath>
                      <m:r>
                        <m:rPr>
                          <m:nor/>
                          <m:sty m:val="bi"/>
                        </m:rPr>
                        <w:rPr>
                          <w:b/>
                          <w:bCs/>
                          <w:i/>
                          <w:szCs w:val="21"/>
                        </w:rPr>
                        <m:t>Recall</m:t>
                      </m:r>
                      <m:r>
                        <m:rPr>
                          <m:nor/>
                          <m:sty m:val="p"/>
                        </m:rPr>
                        <w:rPr>
                          <w:b w:val="0"/>
                          <w:bCs/>
                          <w:i w:val="0"/>
                          <w:szCs w:val="21"/>
                        </w:rPr>
                        <m:t>=</m:t>
                      </m:r>
                      <m:f>
                        <m:fPr>
                          <m:ctrlPr>
                            <w:rPr>
                              <w:rFonts w:ascii="Cambria Math" w:hAnsi="Cambria Math"/>
                              <w:b/>
                              <w:bCs/>
                              <w:szCs w:val="21"/>
                            </w:rPr>
                          </m:ctrlPr>
                        </m:fPr>
                        <m:num>
                          <m:r>
                            <m:rPr>
                              <m:nor/>
                              <m:sty m:val="bi"/>
                            </m:rPr>
                            <w:rPr>
                              <w:b/>
                              <w:bCs/>
                              <w:i/>
                              <w:szCs w:val="21"/>
                            </w:rPr>
                            <m:t>TP</m:t>
                          </m:r>
                          <m:ctrlPr>
                            <w:rPr>
                              <w:rFonts w:ascii="Cambria Math" w:hAnsi="Cambria Math"/>
                              <w:b/>
                              <w:bCs/>
                              <w:szCs w:val="21"/>
                            </w:rPr>
                          </m:ctrlPr>
                        </m:num>
                        <m:den>
                          <m:r>
                            <m:rPr>
                              <m:nor/>
                              <m:sty m:val="bi"/>
                            </m:rPr>
                            <w:rPr>
                              <w:b/>
                              <w:bCs/>
                              <w:i/>
                              <w:szCs w:val="21"/>
                            </w:rPr>
                            <m:t>TP</m:t>
                          </m:r>
                          <m:r>
                            <m:rPr>
                              <m:nor/>
                              <m:sty m:val="p"/>
                            </m:rPr>
                            <w:rPr>
                              <w:b w:val="0"/>
                              <w:bCs/>
                              <w:i w:val="0"/>
                              <w:szCs w:val="21"/>
                            </w:rPr>
                            <m:t>+</m:t>
                          </m:r>
                          <m:r>
                            <m:rPr>
                              <m:nor/>
                              <m:sty m:val="bi"/>
                            </m:rPr>
                            <w:rPr>
                              <w:b/>
                              <w:bCs/>
                              <w:i/>
                              <w:szCs w:val="21"/>
                            </w:rPr>
                            <m:t>FN</m:t>
                          </m:r>
                          <m:ctrlPr>
                            <w:rPr>
                              <w:rFonts w:ascii="Cambria Math" w:hAnsi="Cambria Math"/>
                              <w:b/>
                              <w:bCs/>
                              <w:szCs w:val="21"/>
                            </w:rPr>
                          </m:ctrlPr>
                        </m:den>
                      </m:f>
                    </m:oMath>
                  </m:oMathPara>
                </w:p>
              </w:tc>
              <w:tc>
                <w:tcPr>
                  <w:tcW w:w="679" w:type="dxa"/>
                </w:tcPr>
                <w:p w14:paraId="07834AF0">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b/>
                      <w:bCs/>
                      <w:sz w:val="24"/>
                    </w:rPr>
                  </w:pPr>
                  <w:r>
                    <w:rPr>
                      <w:rFonts w:hint="eastAsia"/>
                      <w:b/>
                      <w:bCs/>
                    </w:rPr>
                    <w:t>(3-</w:t>
                  </w:r>
                  <w:r>
                    <w:rPr>
                      <w:b/>
                      <w:bCs/>
                    </w:rPr>
                    <w:fldChar w:fldCharType="begin"/>
                  </w:r>
                  <w:r>
                    <w:rPr>
                      <w:b/>
                      <w:bCs/>
                    </w:rPr>
                    <w:instrText xml:space="preserve"> SEQ Equation \* ARABIC </w:instrText>
                  </w:r>
                  <w:r>
                    <w:rPr>
                      <w:b/>
                      <w:bCs/>
                    </w:rPr>
                    <w:fldChar w:fldCharType="separate"/>
                  </w:r>
                  <w:r>
                    <w:rPr>
                      <w:b/>
                      <w:bCs/>
                    </w:rPr>
                    <w:t>4</w:t>
                  </w:r>
                  <w:r>
                    <w:rPr>
                      <w:b/>
                      <w:bCs/>
                    </w:rPr>
                    <w:fldChar w:fldCharType="end"/>
                  </w:r>
                  <w:r>
                    <w:rPr>
                      <w:rFonts w:hint="eastAsia"/>
                      <w:b/>
                      <w:bCs/>
                    </w:rPr>
                    <w:t>)</w:t>
                  </w:r>
                </w:p>
              </w:tc>
            </w:tr>
          </w:tbl>
          <w:p w14:paraId="2FDFF4D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jc w:val="center"/>
              <w:textAlignment w:val="auto"/>
              <w:outlineLvl w:val="9"/>
              <w:rPr>
                <w:rFonts w:hint="eastAsia"/>
                <w:szCs w:val="21"/>
              </w:rPr>
            </w:pPr>
          </w:p>
        </w:tc>
        <w:tc>
          <w:tcPr>
            <w:tcW w:w="2987" w:type="dxa"/>
          </w:tcPr>
          <w:p w14:paraId="3DC183F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textAlignment w:val="auto"/>
              <w:outlineLvl w:val="9"/>
              <w:rPr>
                <w:szCs w:val="21"/>
              </w:rPr>
            </w:pPr>
            <w:bookmarkStart w:id="92" w:name="_Toc13284"/>
            <w:r>
              <w:rPr>
                <w:szCs w:val="21"/>
              </w:rPr>
              <w:t>又称灵敏度，衡量真实病灶区域被正确分割出的比例。在临床诊断中，高召回率意味着模型能够尽可能减少漏诊风险</w:t>
            </w:r>
            <w:bookmarkEnd w:id="92"/>
          </w:p>
        </w:tc>
      </w:tr>
    </w:tbl>
    <w:p w14:paraId="35797E5F">
      <w:pPr>
        <w:keepNext w:val="0"/>
        <w:keepLines w:val="0"/>
        <w:pageBreakBefore w:val="0"/>
        <w:widowControl w:val="0"/>
        <w:kinsoku/>
        <w:wordWrap/>
        <w:overflowPunct/>
        <w:topLinePunct w:val="0"/>
        <w:autoSpaceDE/>
        <w:autoSpaceDN/>
        <w:bidi w:val="0"/>
        <w:adjustRightInd/>
        <w:snapToGrid/>
        <w:spacing w:line="360" w:lineRule="auto"/>
        <w:ind w:left="0" w:firstLine="420"/>
        <w:jc w:val="center"/>
        <w:textAlignment w:val="auto"/>
        <w:rPr>
          <w:rFonts w:hint="default"/>
          <w:sz w:val="24"/>
          <w:lang w:val="en-US"/>
        </w:rPr>
      </w:pPr>
    </w:p>
    <w:p w14:paraId="555166E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textAlignment w:val="auto"/>
        <w:rPr>
          <w:rFonts w:eastAsia="黑体"/>
          <w:b/>
          <w:bCs/>
          <w:sz w:val="28"/>
          <w:szCs w:val="28"/>
        </w:rPr>
      </w:pPr>
      <w:r>
        <w:rPr>
          <w:sz w:val="24"/>
        </w:rPr>
        <w:t xml:space="preserve">    为了确保实验结论的统计学意义，所有指标均基于多次独立实验的平均值及标准差进行呈现。同时，本文还将利用显著性检验（P-value）分析本模型相对于基准方法的性能提升是否具有显著性。</w:t>
      </w:r>
    </w:p>
    <w:p w14:paraId="2EE6C002">
      <w:pPr>
        <w:keepNext w:val="0"/>
        <w:keepLines w:val="0"/>
        <w:pageBreakBefore w:val="0"/>
        <w:widowControl w:val="0"/>
        <w:numPr>
          <w:ilvl w:val="1"/>
          <w:numId w:val="0"/>
        </w:numPr>
        <w:kinsoku/>
        <w:wordWrap/>
        <w:overflowPunct/>
        <w:topLinePunct w:val="0"/>
        <w:autoSpaceDE/>
        <w:autoSpaceDN/>
        <w:bidi w:val="0"/>
        <w:adjustRightInd/>
        <w:snapToGrid/>
        <w:spacing w:before="100" w:after="100" w:line="360" w:lineRule="auto"/>
        <w:ind w:left="0"/>
        <w:textAlignment w:val="auto"/>
        <w:outlineLvl w:val="1"/>
        <w:rPr>
          <w:rFonts w:hint="default" w:ascii="Times New Roman" w:hAnsi="Times New Roman" w:eastAsia="黑体" w:cs="Times New Roman"/>
          <w:b/>
          <w:bCs/>
          <w:sz w:val="28"/>
          <w:szCs w:val="28"/>
        </w:rPr>
      </w:pPr>
      <w:bookmarkStart w:id="93" w:name="_Toc27521"/>
      <w:bookmarkStart w:id="94" w:name="_Toc3267"/>
      <w:bookmarkStart w:id="95" w:name="_Toc1301"/>
      <w:bookmarkStart w:id="96" w:name="_Toc1216"/>
      <w:r>
        <w:rPr>
          <w:rFonts w:hint="default" w:ascii="Times New Roman" w:hAnsi="Times New Roman" w:eastAsia="黑体" w:cs="Times New Roman"/>
          <w:b/>
          <w:bCs/>
          <w:sz w:val="28"/>
          <w:szCs w:val="28"/>
        </w:rPr>
        <w:t>3.2 性能对</w:t>
      </w:r>
      <w:bookmarkEnd w:id="93"/>
      <w:r>
        <w:rPr>
          <w:rFonts w:hint="default" w:ascii="Times New Roman" w:hAnsi="Times New Roman" w:eastAsia="黑体" w:cs="Times New Roman"/>
          <w:b/>
          <w:bCs/>
          <w:sz w:val="28"/>
          <w:szCs w:val="28"/>
        </w:rPr>
        <w:t>比与参数敏感性分析</w:t>
      </w:r>
      <w:bookmarkEnd w:id="94"/>
      <w:bookmarkEnd w:id="95"/>
      <w:bookmarkEnd w:id="96"/>
    </w:p>
    <w:p w14:paraId="6560D6C1">
      <w:pPr>
        <w:keepNext w:val="0"/>
        <w:keepLines w:val="0"/>
        <w:pageBreakBefore w:val="0"/>
        <w:widowControl w:val="0"/>
        <w:kinsoku/>
        <w:wordWrap/>
        <w:overflowPunct/>
        <w:topLinePunct w:val="0"/>
        <w:autoSpaceDE/>
        <w:autoSpaceDN/>
        <w:bidi w:val="0"/>
        <w:adjustRightInd/>
        <w:snapToGrid/>
        <w:spacing w:before="100" w:after="100" w:line="360" w:lineRule="auto"/>
        <w:textAlignment w:val="auto"/>
        <w:outlineLvl w:val="2"/>
        <w:rPr>
          <w:rFonts w:hint="default" w:ascii="Times New Roman" w:hAnsi="Times New Roman" w:eastAsia="黑体" w:cs="Times New Roman"/>
          <w:b/>
          <w:bCs/>
          <w:sz w:val="24"/>
        </w:rPr>
      </w:pPr>
      <w:bookmarkStart w:id="97" w:name="_Toc21373"/>
      <w:bookmarkStart w:id="98" w:name="_Toc30927"/>
      <w:r>
        <w:rPr>
          <w:rFonts w:hint="default" w:ascii="Times New Roman" w:hAnsi="Times New Roman" w:eastAsia="黑体" w:cs="Times New Roman"/>
          <w:b/>
          <w:bCs/>
          <w:sz w:val="24"/>
        </w:rPr>
        <w:t>3.2.1 方法有效性对比</w:t>
      </w:r>
      <w:bookmarkEnd w:id="97"/>
      <w:bookmarkEnd w:id="98"/>
    </w:p>
    <w:p w14:paraId="1D6A608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firstLine="437"/>
        <w:textAlignment w:val="auto"/>
        <w:rPr>
          <w:sz w:val="24"/>
        </w:rPr>
      </w:pPr>
      <w:r>
        <w:rPr>
          <w:sz w:val="24"/>
        </w:rPr>
        <w:t>为了验证本文方法的有效性，将所提出模型与多种主流方法进行对比。SwAVDerm是基于SwAV（Swapping Assignments between Views）自监督学习方法</w:t>
      </w:r>
      <w:r>
        <w:rPr>
          <w:rFonts w:hint="eastAsia"/>
          <w:sz w:val="24"/>
          <w:lang w:val="en-US" w:eastAsia="zh-CN"/>
        </w:rPr>
        <w:t>[21]</w:t>
      </w:r>
      <w:r>
        <w:rPr>
          <w:sz w:val="24"/>
        </w:rPr>
        <w:t>，专门针对皮肤镜图像预训练的视觉模型；PanDerm是近年来最新的多模态皮肤科视觉基础模型。对比实验结果如图3</w:t>
      </w:r>
      <w:r>
        <w:rPr>
          <w:rFonts w:hint="eastAsia"/>
          <w:sz w:val="24"/>
        </w:rPr>
        <w:t>-</w:t>
      </w:r>
      <w:r>
        <w:rPr>
          <w:rFonts w:hint="eastAsia"/>
          <w:sz w:val="24"/>
          <w:lang w:val="en-US" w:eastAsia="zh-CN"/>
        </w:rPr>
        <w:t>2</w:t>
      </w:r>
      <w:r>
        <w:rPr>
          <w:sz w:val="24"/>
        </w:rPr>
        <w:t>所示。</w:t>
      </w:r>
    </w:p>
    <w:p w14:paraId="70485AC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firstLine="437"/>
        <w:jc w:val="center"/>
        <w:textAlignment w:val="auto"/>
        <w:rPr>
          <w:sz w:val="24"/>
        </w:rPr>
      </w:pPr>
      <w:r>
        <w:drawing>
          <wp:inline distT="0" distB="0" distL="114300" distR="114300">
            <wp:extent cx="4908550" cy="2092325"/>
            <wp:effectExtent l="0" t="0" r="6350" b="317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8"/>
                    <a:stretch>
                      <a:fillRect/>
                    </a:stretch>
                  </pic:blipFill>
                  <pic:spPr>
                    <a:xfrm>
                      <a:off x="0" y="0"/>
                      <a:ext cx="4908550" cy="2092325"/>
                    </a:xfrm>
                    <a:prstGeom prst="rect">
                      <a:avLst/>
                    </a:prstGeom>
                    <a:noFill/>
                    <a:ln>
                      <a:noFill/>
                    </a:ln>
                  </pic:spPr>
                </pic:pic>
              </a:graphicData>
            </a:graphic>
          </wp:inline>
        </w:drawing>
      </w:r>
    </w:p>
    <w:p w14:paraId="22CFE9A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jc w:val="center"/>
        <w:textAlignment w:val="auto"/>
        <w:rPr>
          <w:rFonts w:hint="eastAsia" w:ascii="黑体" w:hAnsi="黑体" w:eastAsia="黑体" w:cs="黑体"/>
          <w:szCs w:val="21"/>
        </w:rPr>
      </w:pPr>
      <w:r>
        <w:rPr>
          <w:rFonts w:hint="eastAsia" w:ascii="黑体" w:hAnsi="黑体" w:eastAsia="黑体" w:cs="黑体"/>
          <w:szCs w:val="21"/>
        </w:rPr>
        <w:t>图3-2 对比实验结果</w:t>
      </w:r>
    </w:p>
    <w:p w14:paraId="3CAB9FD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firstLine="420"/>
        <w:textAlignment w:val="auto"/>
        <w:rPr>
          <w:sz w:val="24"/>
        </w:rPr>
      </w:pPr>
      <w:r>
        <w:rPr>
          <w:sz w:val="24"/>
        </w:rPr>
        <w:t>从实验结果可以看出，本文方法在多个评价指标上均优于对比方法。在HAM10000数据集上，本文模型在Dice系数与IoU指标上均取得最高值，表明其在病灶区域重叠程度上具有明显优势。这说明通过引入自监督预训练模型，能够有效提升特征表达能力，从而改善分割性能。</w:t>
      </w:r>
      <w:r>
        <w:rPr>
          <w:rFonts w:hint="eastAsia"/>
          <w:sz w:val="24"/>
        </w:rPr>
        <w:t>此外，本文模型</w:t>
      </w:r>
      <w:r>
        <w:rPr>
          <w:sz w:val="24"/>
        </w:rPr>
        <w:t>在Precision与Recall指标上均取得较优结果，说明模型在减少误检与漏检方面具有良好表现。进一步分析可知，本文方法的性能提升主要</w:t>
      </w:r>
      <w:r>
        <w:rPr>
          <w:rFonts w:hint="eastAsia"/>
          <w:sz w:val="24"/>
        </w:rPr>
        <w:t>来自</w:t>
      </w:r>
      <w:r>
        <w:rPr>
          <w:sz w:val="24"/>
        </w:rPr>
        <w:t>以下两个方面：</w:t>
      </w:r>
    </w:p>
    <w:p w14:paraId="1F2065B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textAlignment w:val="auto"/>
        <w:rPr>
          <w:sz w:val="24"/>
        </w:rPr>
      </w:pPr>
      <w:r>
        <w:rPr>
          <w:sz w:val="24"/>
        </w:rPr>
        <w:t>（1）自监督预训练提升了特征泛化能力，使模型能够更好地适应不同分布的数据；</w:t>
      </w:r>
    </w:p>
    <w:p w14:paraId="38EA9FB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textAlignment w:val="auto"/>
        <w:rPr>
          <w:sz w:val="24"/>
        </w:rPr>
      </w:pPr>
      <w:r>
        <w:rPr>
          <w:sz w:val="24"/>
        </w:rPr>
        <w:t>（2）Mask2Former结构增强了对复杂边界的建模能力，从而提升了分割精度。</w:t>
      </w:r>
    </w:p>
    <w:p w14:paraId="1BFE8DA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textAlignment w:val="auto"/>
        <w:rPr>
          <w:rFonts w:eastAsia="黑体"/>
          <w:b/>
          <w:bCs/>
          <w:sz w:val="28"/>
          <w:szCs w:val="28"/>
        </w:rPr>
      </w:pPr>
      <w:r>
        <w:rPr>
          <w:sz w:val="24"/>
        </w:rPr>
        <w:t>综上，实验结果验证了本文方法在皮肤病分割任务中的有效性与优越性。</w:t>
      </w:r>
    </w:p>
    <w:p w14:paraId="709558EB">
      <w:pPr>
        <w:keepNext w:val="0"/>
        <w:keepLines w:val="0"/>
        <w:pageBreakBefore w:val="0"/>
        <w:widowControl w:val="0"/>
        <w:numPr>
          <w:ilvl w:val="1"/>
          <w:numId w:val="0"/>
        </w:numPr>
        <w:kinsoku/>
        <w:wordWrap/>
        <w:overflowPunct/>
        <w:topLinePunct w:val="0"/>
        <w:autoSpaceDE/>
        <w:autoSpaceDN/>
        <w:bidi w:val="0"/>
        <w:adjustRightInd/>
        <w:snapToGrid/>
        <w:spacing w:line="360" w:lineRule="auto"/>
        <w:textAlignment w:val="auto"/>
        <w:rPr>
          <w:sz w:val="24"/>
        </w:rPr>
      </w:pPr>
    </w:p>
    <w:p w14:paraId="2AC414EF">
      <w:pPr>
        <w:keepNext w:val="0"/>
        <w:keepLines w:val="0"/>
        <w:pageBreakBefore w:val="0"/>
        <w:widowControl w:val="0"/>
        <w:kinsoku/>
        <w:wordWrap/>
        <w:overflowPunct/>
        <w:topLinePunct w:val="0"/>
        <w:autoSpaceDE/>
        <w:autoSpaceDN/>
        <w:bidi w:val="0"/>
        <w:adjustRightInd/>
        <w:snapToGrid/>
        <w:spacing w:before="100" w:after="100" w:line="360" w:lineRule="auto"/>
        <w:textAlignment w:val="auto"/>
        <w:outlineLvl w:val="2"/>
        <w:rPr>
          <w:rFonts w:hint="eastAsia" w:ascii="Times New Roman" w:hAnsi="Times New Roman" w:eastAsia="黑体" w:cs="Times New Roman"/>
          <w:b/>
          <w:bCs/>
          <w:sz w:val="24"/>
          <w:lang w:val="en-US" w:eastAsia="zh-CN"/>
        </w:rPr>
      </w:pPr>
      <w:bookmarkStart w:id="99" w:name="_Toc21617"/>
      <w:r>
        <w:rPr>
          <w:rFonts w:hint="eastAsia" w:ascii="Times New Roman" w:hAnsi="Times New Roman" w:eastAsia="黑体" w:cs="Times New Roman"/>
          <w:b/>
          <w:bCs/>
          <w:sz w:val="24"/>
          <w:lang w:val="en-US" w:eastAsia="zh-CN"/>
        </w:rPr>
        <w:t>3.2.</w:t>
      </w:r>
      <w:r>
        <w:rPr>
          <w:rFonts w:hint="eastAsia" w:eastAsia="黑体" w:cs="Times New Roman"/>
          <w:b/>
          <w:bCs/>
          <w:sz w:val="24"/>
          <w:lang w:val="en-US" w:eastAsia="zh-CN"/>
        </w:rPr>
        <w:t>2</w:t>
      </w:r>
      <w:r>
        <w:rPr>
          <w:rFonts w:hint="eastAsia" w:ascii="Times New Roman" w:hAnsi="Times New Roman" w:eastAsia="黑体" w:cs="Times New Roman"/>
          <w:b/>
          <w:bCs/>
          <w:sz w:val="24"/>
          <w:lang w:val="en-US" w:eastAsia="zh-CN"/>
        </w:rPr>
        <w:t xml:space="preserve"> 消融实验与模块贡献分析</w:t>
      </w:r>
      <w:bookmarkEnd w:id="99"/>
    </w:p>
    <w:p w14:paraId="5E5F4697">
      <w:pPr>
        <w:keepNext w:val="0"/>
        <w:keepLines w:val="0"/>
        <w:pageBreakBefore w:val="0"/>
        <w:widowControl w:val="0"/>
        <w:kinsoku/>
        <w:wordWrap/>
        <w:overflowPunct/>
        <w:topLinePunct w:val="0"/>
        <w:autoSpaceDE/>
        <w:autoSpaceDN/>
        <w:bidi w:val="0"/>
        <w:adjustRightInd/>
        <w:snapToGrid/>
        <w:spacing w:before="100" w:after="100" w:line="360" w:lineRule="auto"/>
        <w:ind w:firstLine="420" w:firstLineChars="0"/>
        <w:textAlignment w:val="auto"/>
        <w:outlineLvl w:val="9"/>
        <w:rPr>
          <w:rFonts w:hint="default" w:ascii="Times New Roman" w:hAnsi="Times New Roman" w:cs="Times New Roman"/>
          <w:b w:val="0"/>
          <w:bCs w:val="0"/>
          <w:sz w:val="24"/>
          <w:lang w:val="en-US" w:eastAsia="zh-CN"/>
        </w:rPr>
      </w:pPr>
      <w:bookmarkStart w:id="100" w:name="_Toc21303"/>
      <w:r>
        <w:rPr>
          <w:rFonts w:hint="default" w:ascii="Times New Roman" w:hAnsi="Times New Roman" w:cs="Times New Roman"/>
          <w:b w:val="0"/>
          <w:bCs w:val="0"/>
          <w:sz w:val="24"/>
          <w:lang w:val="en-US" w:eastAsia="zh-CN"/>
        </w:rPr>
        <w:t>为进一步量化各模块对分割性能的独立贡献，本文在HAM10000数据集上开展了系统性的消融实验。通过逐步替换模型组件，分别考察自监督预训练（DINOv3</w:t>
      </w:r>
      <w:r>
        <w:rPr>
          <w:rFonts w:hint="eastAsia" w:cs="Times New Roman"/>
          <w:b w:val="0"/>
          <w:bCs w:val="0"/>
          <w:sz w:val="24"/>
          <w:lang w:val="en-US" w:eastAsia="zh-CN"/>
        </w:rPr>
        <w:t>）</w:t>
      </w:r>
      <w:r>
        <w:rPr>
          <w:rFonts w:hint="default" w:ascii="Times New Roman" w:hAnsi="Times New Roman" w:cs="Times New Roman"/>
          <w:b w:val="0"/>
          <w:bCs w:val="0"/>
          <w:sz w:val="24"/>
          <w:lang w:val="en-US" w:eastAsia="zh-CN"/>
        </w:rPr>
        <w:t>对标准ImageNet监督预训练（ViT）的增益、Mask2Former解码器对线性解码器（Linear）的增益</w:t>
      </w:r>
      <w:r>
        <w:rPr>
          <w:rFonts w:hint="eastAsia" w:cs="Times New Roman"/>
          <w:b w:val="0"/>
          <w:bCs w:val="0"/>
          <w:sz w:val="24"/>
          <w:lang w:val="en-US" w:eastAsia="zh-CN"/>
        </w:rPr>
        <w:t>，以及</w:t>
      </w:r>
      <w:r>
        <w:rPr>
          <w:rFonts w:hint="default" w:ascii="Times New Roman" w:hAnsi="Times New Roman" w:cs="Times New Roman"/>
          <w:b w:val="0"/>
          <w:bCs w:val="0"/>
          <w:sz w:val="24"/>
          <w:lang w:val="en-US" w:eastAsia="zh-CN"/>
        </w:rPr>
        <w:t>稠密对比正则化（DCR）的适配器对简化多尺度特征桥接的增益。实验结果如表3-3所示。</w:t>
      </w:r>
      <w:bookmarkEnd w:id="100"/>
    </w:p>
    <w:p w14:paraId="338CDB82">
      <w:pPr>
        <w:keepNext w:val="0"/>
        <w:keepLines w:val="0"/>
        <w:pageBreakBefore w:val="0"/>
        <w:widowControl w:val="0"/>
        <w:kinsoku/>
        <w:wordWrap/>
        <w:overflowPunct/>
        <w:topLinePunct w:val="0"/>
        <w:autoSpaceDE/>
        <w:autoSpaceDN/>
        <w:bidi w:val="0"/>
        <w:adjustRightInd/>
        <w:snapToGrid/>
        <w:spacing w:before="100" w:after="100" w:line="360" w:lineRule="auto"/>
        <w:ind w:firstLine="420" w:firstLineChars="0"/>
        <w:jc w:val="center"/>
        <w:textAlignment w:val="auto"/>
        <w:outlineLvl w:val="9"/>
        <w:rPr>
          <w:rFonts w:hint="eastAsia" w:ascii="黑体" w:hAnsi="黑体" w:eastAsia="黑体" w:cs="黑体"/>
          <w:b w:val="0"/>
          <w:bCs w:val="0"/>
          <w:sz w:val="21"/>
          <w:szCs w:val="21"/>
          <w:lang w:val="en-US" w:eastAsia="zh-CN"/>
        </w:rPr>
      </w:pPr>
      <w:bookmarkStart w:id="101" w:name="_Toc9499"/>
      <w:r>
        <w:rPr>
          <w:rFonts w:hint="eastAsia" w:ascii="黑体" w:hAnsi="黑体" w:eastAsia="黑体" w:cs="黑体"/>
          <w:b w:val="0"/>
          <w:bCs w:val="0"/>
          <w:sz w:val="21"/>
          <w:szCs w:val="21"/>
          <w:lang w:val="en-US" w:eastAsia="zh-CN"/>
        </w:rPr>
        <w:t>表3-3 消融实验结果</w:t>
      </w:r>
      <w:bookmarkEnd w:id="10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3"/>
        <w:gridCol w:w="1453"/>
        <w:gridCol w:w="1453"/>
        <w:gridCol w:w="1453"/>
        <w:gridCol w:w="1454"/>
        <w:gridCol w:w="1454"/>
      </w:tblGrid>
      <w:tr w14:paraId="78154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Borders>
              <w:left w:val="nil"/>
              <w:right w:val="nil"/>
            </w:tcBorders>
          </w:tcPr>
          <w:p w14:paraId="7F71C802">
            <w:pPr>
              <w:keepNext w:val="0"/>
              <w:keepLines w:val="0"/>
              <w:pageBreakBefore w:val="0"/>
              <w:widowControl w:val="0"/>
              <w:kinsoku/>
              <w:wordWrap/>
              <w:overflowPunct/>
              <w:topLinePunct w:val="0"/>
              <w:autoSpaceDE/>
              <w:autoSpaceDN/>
              <w:bidi w:val="0"/>
              <w:adjustRightInd/>
              <w:snapToGrid/>
              <w:spacing w:before="100" w:after="100" w:line="360" w:lineRule="auto"/>
              <w:jc w:val="center"/>
              <w:textAlignment w:val="auto"/>
              <w:outlineLvl w:val="2"/>
              <w:rPr>
                <w:rFonts w:hint="default" w:ascii="Times New Roman" w:hAnsi="Times New Roman" w:cs="Times New Roman"/>
                <w:b w:val="0"/>
                <w:bCs w:val="0"/>
                <w:sz w:val="24"/>
                <w:vertAlign w:val="baseline"/>
                <w:lang w:val="en-US" w:eastAsia="zh-CN"/>
              </w:rPr>
            </w:pPr>
            <w:bookmarkStart w:id="102" w:name="_Toc22585"/>
            <w:bookmarkStart w:id="103" w:name="_Toc2021"/>
            <w:bookmarkStart w:id="104" w:name="_Toc12363"/>
            <w:r>
              <w:rPr>
                <w:rFonts w:hint="default" w:ascii="Times New Roman" w:hAnsi="Times New Roman" w:cs="Times New Roman"/>
                <w:b w:val="0"/>
                <w:bCs w:val="0"/>
                <w:sz w:val="24"/>
                <w:vertAlign w:val="baseline"/>
                <w:lang w:val="en-US" w:eastAsia="zh-CN"/>
              </w:rPr>
              <w:t>方法</w:t>
            </w:r>
            <w:bookmarkEnd w:id="102"/>
            <w:bookmarkEnd w:id="103"/>
            <w:bookmarkEnd w:id="104"/>
          </w:p>
        </w:tc>
        <w:tc>
          <w:tcPr>
            <w:tcW w:w="1453" w:type="dxa"/>
            <w:tcBorders>
              <w:left w:val="nil"/>
              <w:right w:val="nil"/>
            </w:tcBorders>
          </w:tcPr>
          <w:p w14:paraId="1BC50473">
            <w:pPr>
              <w:keepNext w:val="0"/>
              <w:keepLines w:val="0"/>
              <w:pageBreakBefore w:val="0"/>
              <w:widowControl w:val="0"/>
              <w:kinsoku/>
              <w:wordWrap/>
              <w:overflowPunct/>
              <w:topLinePunct w:val="0"/>
              <w:autoSpaceDE/>
              <w:autoSpaceDN/>
              <w:bidi w:val="0"/>
              <w:adjustRightInd/>
              <w:snapToGrid/>
              <w:spacing w:before="100" w:after="100" w:line="360" w:lineRule="auto"/>
              <w:jc w:val="center"/>
              <w:textAlignment w:val="auto"/>
              <w:outlineLvl w:val="2"/>
              <w:rPr>
                <w:rFonts w:hint="default" w:ascii="Times New Roman" w:hAnsi="Times New Roman" w:cs="Times New Roman"/>
                <w:b w:val="0"/>
                <w:bCs w:val="0"/>
                <w:sz w:val="24"/>
                <w:vertAlign w:val="baseline"/>
                <w:lang w:val="en-US" w:eastAsia="zh-CN"/>
              </w:rPr>
            </w:pPr>
            <w:bookmarkStart w:id="105" w:name="_Toc7084"/>
            <w:bookmarkStart w:id="106" w:name="_Toc14309"/>
            <w:bookmarkStart w:id="107" w:name="_Toc19947"/>
            <w:r>
              <w:rPr>
                <w:rFonts w:hint="default" w:ascii="Times New Roman" w:hAnsi="Times New Roman" w:cs="Times New Roman"/>
                <w:b w:val="0"/>
                <w:bCs w:val="0"/>
                <w:sz w:val="24"/>
                <w:vertAlign w:val="baseline"/>
                <w:lang w:val="en-US" w:eastAsia="zh-CN"/>
              </w:rPr>
              <w:t>Dice</w:t>
            </w:r>
            <w:bookmarkEnd w:id="105"/>
            <w:bookmarkEnd w:id="106"/>
            <w:bookmarkEnd w:id="107"/>
          </w:p>
        </w:tc>
        <w:tc>
          <w:tcPr>
            <w:tcW w:w="1453" w:type="dxa"/>
            <w:tcBorders>
              <w:left w:val="nil"/>
              <w:right w:val="nil"/>
            </w:tcBorders>
          </w:tcPr>
          <w:p w14:paraId="7A73C17B">
            <w:pPr>
              <w:keepNext w:val="0"/>
              <w:keepLines w:val="0"/>
              <w:pageBreakBefore w:val="0"/>
              <w:widowControl w:val="0"/>
              <w:kinsoku/>
              <w:wordWrap/>
              <w:overflowPunct/>
              <w:topLinePunct w:val="0"/>
              <w:autoSpaceDE/>
              <w:autoSpaceDN/>
              <w:bidi w:val="0"/>
              <w:adjustRightInd/>
              <w:snapToGrid/>
              <w:spacing w:before="100" w:after="100" w:line="360" w:lineRule="auto"/>
              <w:jc w:val="center"/>
              <w:textAlignment w:val="auto"/>
              <w:outlineLvl w:val="2"/>
              <w:rPr>
                <w:rFonts w:hint="default" w:ascii="Times New Roman" w:hAnsi="Times New Roman" w:cs="Times New Roman"/>
                <w:b w:val="0"/>
                <w:bCs w:val="0"/>
                <w:sz w:val="24"/>
                <w:vertAlign w:val="baseline"/>
                <w:lang w:val="en-US" w:eastAsia="zh-CN"/>
              </w:rPr>
            </w:pPr>
            <w:bookmarkStart w:id="108" w:name="_Toc30048"/>
            <w:bookmarkStart w:id="109" w:name="_Toc31950"/>
            <w:bookmarkStart w:id="110" w:name="_Toc10546"/>
            <w:r>
              <w:rPr>
                <w:rFonts w:hint="default" w:ascii="Times New Roman" w:hAnsi="Times New Roman" w:cs="Times New Roman"/>
                <w:b w:val="0"/>
                <w:bCs w:val="0"/>
                <w:sz w:val="24"/>
                <w:vertAlign w:val="baseline"/>
                <w:lang w:val="en-US" w:eastAsia="zh-CN"/>
              </w:rPr>
              <w:t>mIoU</w:t>
            </w:r>
            <w:bookmarkEnd w:id="108"/>
            <w:bookmarkEnd w:id="109"/>
            <w:bookmarkEnd w:id="110"/>
          </w:p>
        </w:tc>
        <w:tc>
          <w:tcPr>
            <w:tcW w:w="1453" w:type="dxa"/>
            <w:tcBorders>
              <w:left w:val="nil"/>
              <w:right w:val="nil"/>
            </w:tcBorders>
          </w:tcPr>
          <w:p w14:paraId="131D948D">
            <w:pPr>
              <w:keepNext w:val="0"/>
              <w:keepLines w:val="0"/>
              <w:pageBreakBefore w:val="0"/>
              <w:widowControl w:val="0"/>
              <w:kinsoku/>
              <w:wordWrap/>
              <w:overflowPunct/>
              <w:topLinePunct w:val="0"/>
              <w:autoSpaceDE/>
              <w:autoSpaceDN/>
              <w:bidi w:val="0"/>
              <w:adjustRightInd/>
              <w:snapToGrid/>
              <w:spacing w:before="100" w:after="100" w:line="360" w:lineRule="auto"/>
              <w:jc w:val="center"/>
              <w:textAlignment w:val="auto"/>
              <w:outlineLvl w:val="2"/>
              <w:rPr>
                <w:rFonts w:hint="default" w:ascii="Times New Roman" w:hAnsi="Times New Roman" w:cs="Times New Roman"/>
                <w:b w:val="0"/>
                <w:bCs w:val="0"/>
                <w:sz w:val="24"/>
                <w:vertAlign w:val="baseline"/>
                <w:lang w:val="en-US" w:eastAsia="zh-CN"/>
              </w:rPr>
            </w:pPr>
            <w:bookmarkStart w:id="111" w:name="_Toc3279"/>
            <w:bookmarkStart w:id="112" w:name="_Toc2251"/>
            <w:bookmarkStart w:id="113" w:name="_Toc25564"/>
            <w:r>
              <w:rPr>
                <w:rFonts w:hint="default" w:ascii="Times New Roman" w:hAnsi="Times New Roman" w:cs="Times New Roman"/>
                <w:b w:val="0"/>
                <w:bCs w:val="0"/>
                <w:sz w:val="24"/>
                <w:vertAlign w:val="baseline"/>
                <w:lang w:val="en-US" w:eastAsia="zh-CN"/>
              </w:rPr>
              <w:t>Acc</w:t>
            </w:r>
            <w:bookmarkEnd w:id="111"/>
            <w:bookmarkEnd w:id="112"/>
            <w:bookmarkEnd w:id="113"/>
          </w:p>
        </w:tc>
        <w:tc>
          <w:tcPr>
            <w:tcW w:w="1454" w:type="dxa"/>
            <w:tcBorders>
              <w:left w:val="nil"/>
              <w:right w:val="nil"/>
            </w:tcBorders>
          </w:tcPr>
          <w:p w14:paraId="30E9198B">
            <w:pPr>
              <w:keepNext w:val="0"/>
              <w:keepLines w:val="0"/>
              <w:pageBreakBefore w:val="0"/>
              <w:widowControl w:val="0"/>
              <w:kinsoku/>
              <w:wordWrap/>
              <w:overflowPunct/>
              <w:topLinePunct w:val="0"/>
              <w:autoSpaceDE/>
              <w:autoSpaceDN/>
              <w:bidi w:val="0"/>
              <w:adjustRightInd/>
              <w:snapToGrid/>
              <w:spacing w:before="100" w:after="100" w:line="360" w:lineRule="auto"/>
              <w:jc w:val="center"/>
              <w:textAlignment w:val="auto"/>
              <w:outlineLvl w:val="2"/>
              <w:rPr>
                <w:rFonts w:hint="default" w:ascii="Times New Roman" w:hAnsi="Times New Roman" w:cs="Times New Roman"/>
                <w:b w:val="0"/>
                <w:bCs w:val="0"/>
                <w:sz w:val="24"/>
                <w:vertAlign w:val="baseline"/>
                <w:lang w:val="en-US" w:eastAsia="zh-CN"/>
              </w:rPr>
            </w:pPr>
            <w:bookmarkStart w:id="114" w:name="_Toc26321"/>
            <w:bookmarkStart w:id="115" w:name="_Toc2135"/>
            <w:bookmarkStart w:id="116" w:name="_Toc21391"/>
            <w:r>
              <w:rPr>
                <w:rFonts w:hint="default" w:ascii="Times New Roman" w:hAnsi="Times New Roman" w:cs="Times New Roman"/>
                <w:b w:val="0"/>
                <w:bCs w:val="0"/>
                <w:sz w:val="24"/>
                <w:vertAlign w:val="baseline"/>
                <w:lang w:val="en-US" w:eastAsia="zh-CN"/>
              </w:rPr>
              <w:t>Precision</w:t>
            </w:r>
            <w:bookmarkEnd w:id="114"/>
            <w:bookmarkEnd w:id="115"/>
            <w:bookmarkEnd w:id="116"/>
          </w:p>
        </w:tc>
        <w:tc>
          <w:tcPr>
            <w:tcW w:w="1454" w:type="dxa"/>
            <w:tcBorders>
              <w:left w:val="nil"/>
              <w:right w:val="nil"/>
            </w:tcBorders>
          </w:tcPr>
          <w:p w14:paraId="538E2349">
            <w:pPr>
              <w:keepNext w:val="0"/>
              <w:keepLines w:val="0"/>
              <w:pageBreakBefore w:val="0"/>
              <w:widowControl w:val="0"/>
              <w:kinsoku/>
              <w:wordWrap/>
              <w:overflowPunct/>
              <w:topLinePunct w:val="0"/>
              <w:autoSpaceDE/>
              <w:autoSpaceDN/>
              <w:bidi w:val="0"/>
              <w:adjustRightInd/>
              <w:snapToGrid/>
              <w:spacing w:before="100" w:after="100" w:line="360" w:lineRule="auto"/>
              <w:jc w:val="center"/>
              <w:textAlignment w:val="auto"/>
              <w:outlineLvl w:val="2"/>
              <w:rPr>
                <w:rFonts w:hint="default" w:ascii="Times New Roman" w:hAnsi="Times New Roman" w:cs="Times New Roman"/>
                <w:b w:val="0"/>
                <w:bCs w:val="0"/>
                <w:sz w:val="24"/>
                <w:vertAlign w:val="baseline"/>
                <w:lang w:val="en-US" w:eastAsia="zh-CN"/>
              </w:rPr>
            </w:pPr>
            <w:bookmarkStart w:id="117" w:name="_Toc3596"/>
            <w:bookmarkStart w:id="118" w:name="_Toc17432"/>
            <w:bookmarkStart w:id="119" w:name="_Toc21970"/>
            <w:r>
              <w:rPr>
                <w:rFonts w:hint="default" w:ascii="Times New Roman" w:hAnsi="Times New Roman" w:cs="Times New Roman"/>
                <w:b w:val="0"/>
                <w:bCs w:val="0"/>
                <w:sz w:val="24"/>
                <w:vertAlign w:val="baseline"/>
                <w:lang w:val="en-US" w:eastAsia="zh-CN"/>
              </w:rPr>
              <w:t>Recall</w:t>
            </w:r>
            <w:bookmarkEnd w:id="117"/>
            <w:bookmarkEnd w:id="118"/>
            <w:bookmarkEnd w:id="119"/>
          </w:p>
        </w:tc>
      </w:tr>
      <w:tr w14:paraId="7249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Borders>
              <w:left w:val="nil"/>
              <w:bottom w:val="nil"/>
              <w:right w:val="nil"/>
            </w:tcBorders>
            <w:vAlign w:val="center"/>
          </w:tcPr>
          <w:p w14:paraId="62CB24C9">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ViT + Linear</w:t>
            </w:r>
          </w:p>
        </w:tc>
        <w:tc>
          <w:tcPr>
            <w:tcW w:w="1453" w:type="dxa"/>
            <w:tcBorders>
              <w:left w:val="nil"/>
              <w:bottom w:val="nil"/>
              <w:right w:val="nil"/>
            </w:tcBorders>
            <w:vAlign w:val="center"/>
          </w:tcPr>
          <w:p w14:paraId="295B11AE">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89.74</w:t>
            </w:r>
          </w:p>
        </w:tc>
        <w:tc>
          <w:tcPr>
            <w:tcW w:w="1453" w:type="dxa"/>
            <w:tcBorders>
              <w:left w:val="nil"/>
              <w:bottom w:val="nil"/>
              <w:right w:val="nil"/>
            </w:tcBorders>
            <w:vAlign w:val="center"/>
          </w:tcPr>
          <w:p w14:paraId="6436800C">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81.69</w:t>
            </w:r>
          </w:p>
        </w:tc>
        <w:tc>
          <w:tcPr>
            <w:tcW w:w="1453" w:type="dxa"/>
            <w:tcBorders>
              <w:left w:val="nil"/>
              <w:bottom w:val="nil"/>
              <w:right w:val="nil"/>
            </w:tcBorders>
            <w:vAlign w:val="center"/>
          </w:tcPr>
          <w:p w14:paraId="37E5512A">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89.06</w:t>
            </w:r>
          </w:p>
        </w:tc>
        <w:tc>
          <w:tcPr>
            <w:tcW w:w="1454" w:type="dxa"/>
            <w:tcBorders>
              <w:left w:val="nil"/>
              <w:bottom w:val="nil"/>
              <w:right w:val="nil"/>
            </w:tcBorders>
            <w:vAlign w:val="center"/>
          </w:tcPr>
          <w:p w14:paraId="03CB1780">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90.51</w:t>
            </w:r>
          </w:p>
        </w:tc>
        <w:tc>
          <w:tcPr>
            <w:tcW w:w="1454" w:type="dxa"/>
            <w:tcBorders>
              <w:left w:val="nil"/>
              <w:bottom w:val="nil"/>
              <w:right w:val="nil"/>
            </w:tcBorders>
            <w:vAlign w:val="center"/>
          </w:tcPr>
          <w:p w14:paraId="7F49863C">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89.06</w:t>
            </w:r>
          </w:p>
        </w:tc>
      </w:tr>
      <w:tr w14:paraId="039B9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Borders>
              <w:top w:val="nil"/>
              <w:left w:val="nil"/>
              <w:bottom w:val="nil"/>
              <w:right w:val="nil"/>
            </w:tcBorders>
            <w:vAlign w:val="center"/>
          </w:tcPr>
          <w:p w14:paraId="38E772A6">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DINOv3 + Linear</w:t>
            </w:r>
          </w:p>
        </w:tc>
        <w:tc>
          <w:tcPr>
            <w:tcW w:w="1453" w:type="dxa"/>
            <w:tcBorders>
              <w:top w:val="nil"/>
              <w:left w:val="nil"/>
              <w:bottom w:val="nil"/>
              <w:right w:val="nil"/>
            </w:tcBorders>
            <w:vAlign w:val="center"/>
          </w:tcPr>
          <w:p w14:paraId="3991C4B1">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91.31</w:t>
            </w:r>
          </w:p>
        </w:tc>
        <w:tc>
          <w:tcPr>
            <w:tcW w:w="1453" w:type="dxa"/>
            <w:tcBorders>
              <w:top w:val="nil"/>
              <w:left w:val="nil"/>
              <w:bottom w:val="nil"/>
              <w:right w:val="nil"/>
            </w:tcBorders>
            <w:vAlign w:val="center"/>
          </w:tcPr>
          <w:p w14:paraId="768CB3D9">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84.22</w:t>
            </w:r>
          </w:p>
        </w:tc>
        <w:tc>
          <w:tcPr>
            <w:tcW w:w="1453" w:type="dxa"/>
            <w:tcBorders>
              <w:top w:val="nil"/>
              <w:left w:val="nil"/>
              <w:bottom w:val="nil"/>
              <w:right w:val="nil"/>
            </w:tcBorders>
            <w:vAlign w:val="center"/>
          </w:tcPr>
          <w:p w14:paraId="2685080A">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90.66</w:t>
            </w:r>
          </w:p>
        </w:tc>
        <w:tc>
          <w:tcPr>
            <w:tcW w:w="1454" w:type="dxa"/>
            <w:tcBorders>
              <w:top w:val="nil"/>
              <w:left w:val="nil"/>
              <w:bottom w:val="nil"/>
              <w:right w:val="nil"/>
            </w:tcBorders>
            <w:vAlign w:val="center"/>
          </w:tcPr>
          <w:p w14:paraId="3087F16B">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92.02</w:t>
            </w:r>
          </w:p>
        </w:tc>
        <w:tc>
          <w:tcPr>
            <w:tcW w:w="1454" w:type="dxa"/>
            <w:tcBorders>
              <w:top w:val="nil"/>
              <w:left w:val="nil"/>
              <w:bottom w:val="nil"/>
              <w:right w:val="nil"/>
            </w:tcBorders>
            <w:vAlign w:val="center"/>
          </w:tcPr>
          <w:p w14:paraId="10A31396">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90.66</w:t>
            </w:r>
          </w:p>
        </w:tc>
      </w:tr>
      <w:tr w14:paraId="7319A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Borders>
              <w:top w:val="nil"/>
              <w:left w:val="nil"/>
              <w:bottom w:val="nil"/>
              <w:right w:val="nil"/>
            </w:tcBorders>
            <w:vAlign w:val="center"/>
          </w:tcPr>
          <w:p w14:paraId="17038493">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 xml:space="preserve">DINOv3 + M2F </w:t>
            </w:r>
            <w:r>
              <w:rPr>
                <w:rFonts w:hint="eastAsia" w:cs="Times New Roman"/>
                <w:sz w:val="24"/>
                <w:szCs w:val="32"/>
                <w:lang w:val="en-US" w:eastAsia="zh-CN"/>
              </w:rPr>
              <w:t>（</w:t>
            </w:r>
            <w:r>
              <w:rPr>
                <w:rFonts w:hint="default" w:ascii="Times New Roman" w:hAnsi="Times New Roman" w:cs="Times New Roman"/>
                <w:sz w:val="24"/>
                <w:szCs w:val="32"/>
                <w:lang w:val="en-US" w:eastAsia="zh-CN"/>
              </w:rPr>
              <w:t>无 DCR</w:t>
            </w:r>
            <w:r>
              <w:rPr>
                <w:rFonts w:hint="eastAsia" w:cs="Times New Roman"/>
                <w:sz w:val="24"/>
                <w:szCs w:val="32"/>
                <w:lang w:val="en-US" w:eastAsia="zh-CN"/>
              </w:rPr>
              <w:t>）</w:t>
            </w:r>
          </w:p>
        </w:tc>
        <w:tc>
          <w:tcPr>
            <w:tcW w:w="1453" w:type="dxa"/>
            <w:tcBorders>
              <w:top w:val="nil"/>
              <w:left w:val="nil"/>
              <w:bottom w:val="nil"/>
              <w:right w:val="nil"/>
            </w:tcBorders>
            <w:vAlign w:val="center"/>
          </w:tcPr>
          <w:p w14:paraId="671CD661">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91.60</w:t>
            </w:r>
          </w:p>
        </w:tc>
        <w:tc>
          <w:tcPr>
            <w:tcW w:w="1453" w:type="dxa"/>
            <w:tcBorders>
              <w:top w:val="nil"/>
              <w:left w:val="nil"/>
              <w:bottom w:val="nil"/>
              <w:right w:val="nil"/>
            </w:tcBorders>
            <w:vAlign w:val="center"/>
          </w:tcPr>
          <w:p w14:paraId="44A31CD8">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84.70</w:t>
            </w:r>
          </w:p>
        </w:tc>
        <w:tc>
          <w:tcPr>
            <w:tcW w:w="1453" w:type="dxa"/>
            <w:tcBorders>
              <w:top w:val="nil"/>
              <w:left w:val="nil"/>
              <w:bottom w:val="nil"/>
              <w:right w:val="nil"/>
            </w:tcBorders>
            <w:vAlign w:val="center"/>
          </w:tcPr>
          <w:p w14:paraId="2434AD31">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90.86</w:t>
            </w:r>
          </w:p>
        </w:tc>
        <w:tc>
          <w:tcPr>
            <w:tcW w:w="1454" w:type="dxa"/>
            <w:tcBorders>
              <w:top w:val="nil"/>
              <w:left w:val="nil"/>
              <w:bottom w:val="nil"/>
              <w:right w:val="nil"/>
            </w:tcBorders>
            <w:vAlign w:val="center"/>
          </w:tcPr>
          <w:p w14:paraId="643828DB">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92.43</w:t>
            </w:r>
          </w:p>
        </w:tc>
        <w:tc>
          <w:tcPr>
            <w:tcW w:w="1454" w:type="dxa"/>
            <w:tcBorders>
              <w:top w:val="nil"/>
              <w:left w:val="nil"/>
              <w:bottom w:val="nil"/>
              <w:right w:val="nil"/>
            </w:tcBorders>
            <w:vAlign w:val="center"/>
          </w:tcPr>
          <w:p w14:paraId="475E411D">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90.86</w:t>
            </w:r>
          </w:p>
        </w:tc>
      </w:tr>
      <w:tr w14:paraId="3EFFE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Borders>
              <w:top w:val="nil"/>
              <w:left w:val="nil"/>
              <w:right w:val="nil"/>
            </w:tcBorders>
            <w:vAlign w:val="center"/>
          </w:tcPr>
          <w:p w14:paraId="728345E3">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DINOv3 + DCR + M2F</w:t>
            </w:r>
          </w:p>
        </w:tc>
        <w:tc>
          <w:tcPr>
            <w:tcW w:w="1453" w:type="dxa"/>
            <w:tcBorders>
              <w:top w:val="nil"/>
              <w:left w:val="nil"/>
              <w:right w:val="nil"/>
            </w:tcBorders>
            <w:vAlign w:val="center"/>
          </w:tcPr>
          <w:p w14:paraId="78E69B81">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92.20</w:t>
            </w:r>
          </w:p>
        </w:tc>
        <w:tc>
          <w:tcPr>
            <w:tcW w:w="1453" w:type="dxa"/>
            <w:tcBorders>
              <w:top w:val="nil"/>
              <w:left w:val="nil"/>
              <w:right w:val="nil"/>
            </w:tcBorders>
            <w:vAlign w:val="center"/>
          </w:tcPr>
          <w:p w14:paraId="670BA1A1">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85.70</w:t>
            </w:r>
          </w:p>
        </w:tc>
        <w:tc>
          <w:tcPr>
            <w:tcW w:w="1453" w:type="dxa"/>
            <w:tcBorders>
              <w:top w:val="nil"/>
              <w:left w:val="nil"/>
              <w:right w:val="nil"/>
            </w:tcBorders>
            <w:vAlign w:val="center"/>
          </w:tcPr>
          <w:p w14:paraId="5C4948BA">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91.67</w:t>
            </w:r>
          </w:p>
        </w:tc>
        <w:tc>
          <w:tcPr>
            <w:tcW w:w="1454" w:type="dxa"/>
            <w:tcBorders>
              <w:top w:val="nil"/>
              <w:left w:val="nil"/>
              <w:right w:val="nil"/>
            </w:tcBorders>
            <w:vAlign w:val="center"/>
          </w:tcPr>
          <w:p w14:paraId="66850342">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92.78</w:t>
            </w:r>
          </w:p>
        </w:tc>
        <w:tc>
          <w:tcPr>
            <w:tcW w:w="1454" w:type="dxa"/>
            <w:tcBorders>
              <w:top w:val="nil"/>
              <w:left w:val="nil"/>
              <w:right w:val="nil"/>
            </w:tcBorders>
            <w:vAlign w:val="center"/>
          </w:tcPr>
          <w:p w14:paraId="249E2AC5">
            <w:pPr>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91.67</w:t>
            </w:r>
          </w:p>
        </w:tc>
      </w:tr>
    </w:tbl>
    <w:p w14:paraId="4B31D0AA">
      <w:pPr>
        <w:keepNext w:val="0"/>
        <w:keepLines w:val="0"/>
        <w:pageBreakBefore w:val="0"/>
        <w:widowControl w:val="0"/>
        <w:kinsoku/>
        <w:wordWrap/>
        <w:overflowPunct/>
        <w:topLinePunct w:val="0"/>
        <w:autoSpaceDE/>
        <w:autoSpaceDN/>
        <w:bidi w:val="0"/>
        <w:adjustRightInd/>
        <w:snapToGrid/>
        <w:spacing w:before="100" w:after="100" w:line="360" w:lineRule="auto"/>
        <w:ind w:firstLine="420" w:firstLineChars="0"/>
        <w:jc w:val="both"/>
        <w:textAlignment w:val="auto"/>
        <w:outlineLvl w:val="9"/>
        <w:rPr>
          <w:rFonts w:hint="default" w:ascii="Times New Roman" w:hAnsi="Times New Roman" w:cs="Times New Roman"/>
          <w:b w:val="0"/>
          <w:bCs w:val="0"/>
          <w:sz w:val="24"/>
          <w:lang w:val="en-US" w:eastAsia="zh-CN"/>
        </w:rPr>
      </w:pPr>
      <w:bookmarkStart w:id="120" w:name="_Toc30216"/>
      <w:r>
        <w:rPr>
          <w:rFonts w:hint="default" w:ascii="Times New Roman" w:hAnsi="Times New Roman" w:cs="Times New Roman"/>
          <w:b w:val="0"/>
          <w:bCs w:val="0"/>
          <w:sz w:val="24"/>
          <w:lang w:val="en-US" w:eastAsia="zh-CN"/>
        </w:rPr>
        <w:t>基于表3-3的消融结果，各模块的贡献可归纳为图3-4。</w:t>
      </w:r>
      <w:bookmarkEnd w:id="120"/>
    </w:p>
    <w:p w14:paraId="6B27FCF1">
      <w:pPr>
        <w:keepNext w:val="0"/>
        <w:keepLines w:val="0"/>
        <w:pageBreakBefore w:val="0"/>
        <w:widowControl w:val="0"/>
        <w:kinsoku/>
        <w:wordWrap/>
        <w:overflowPunct/>
        <w:topLinePunct w:val="0"/>
        <w:autoSpaceDE/>
        <w:autoSpaceDN/>
        <w:bidi w:val="0"/>
        <w:adjustRightInd/>
        <w:snapToGrid/>
        <w:spacing w:before="100" w:after="100" w:line="360" w:lineRule="auto"/>
        <w:jc w:val="both"/>
        <w:textAlignment w:val="auto"/>
        <w:outlineLvl w:val="9"/>
        <w:rPr>
          <w:rFonts w:hint="default" w:ascii="Times New Roman" w:hAnsi="Times New Roman" w:cs="Times New Roman"/>
          <w:b w:val="0"/>
          <w:bCs w:val="0"/>
          <w:sz w:val="24"/>
          <w:lang w:val="en-US" w:eastAsia="zh-CN"/>
        </w:rPr>
      </w:pPr>
      <w:bookmarkStart w:id="121" w:name="_Toc27833"/>
      <w:r>
        <w:rPr>
          <w:rFonts w:hint="default" w:ascii="Times New Roman" w:hAnsi="Times New Roman" w:cs="Times New Roman"/>
          <w:b w:val="0"/>
          <w:bCs w:val="0"/>
          <w:sz w:val="24"/>
          <w:lang w:val="en-US" w:eastAsia="zh-CN"/>
        </w:rPr>
        <w:drawing>
          <wp:inline distT="0" distB="0" distL="114300" distR="114300">
            <wp:extent cx="5399405" cy="2362200"/>
            <wp:effectExtent l="0" t="0" r="10795" b="0"/>
            <wp:docPr id="9" name="图片 9" descr="ablation_con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blation_contribution"/>
                    <pic:cNvPicPr>
                      <a:picLocks noChangeAspect="1"/>
                    </pic:cNvPicPr>
                  </pic:nvPicPr>
                  <pic:blipFill>
                    <a:blip r:embed="rId19"/>
                    <a:stretch>
                      <a:fillRect/>
                    </a:stretch>
                  </pic:blipFill>
                  <pic:spPr>
                    <a:xfrm>
                      <a:off x="0" y="0"/>
                      <a:ext cx="5399405" cy="2362200"/>
                    </a:xfrm>
                    <a:prstGeom prst="rect">
                      <a:avLst/>
                    </a:prstGeom>
                  </pic:spPr>
                </pic:pic>
              </a:graphicData>
            </a:graphic>
          </wp:inline>
        </w:drawing>
      </w:r>
      <w:bookmarkEnd w:id="121"/>
    </w:p>
    <w:p w14:paraId="70F1949F">
      <w:pPr>
        <w:keepNext w:val="0"/>
        <w:keepLines w:val="0"/>
        <w:pageBreakBefore w:val="0"/>
        <w:widowControl w:val="0"/>
        <w:kinsoku/>
        <w:wordWrap/>
        <w:overflowPunct/>
        <w:topLinePunct w:val="0"/>
        <w:autoSpaceDE/>
        <w:autoSpaceDN/>
        <w:bidi w:val="0"/>
        <w:adjustRightInd/>
        <w:snapToGrid/>
        <w:spacing w:before="100" w:after="100" w:line="360" w:lineRule="auto"/>
        <w:ind w:firstLine="420" w:firstLineChars="0"/>
        <w:jc w:val="center"/>
        <w:textAlignment w:val="auto"/>
        <w:outlineLvl w:val="9"/>
        <w:rPr>
          <w:rFonts w:hint="eastAsia" w:ascii="黑体" w:hAnsi="黑体" w:eastAsia="黑体" w:cs="黑体"/>
          <w:b w:val="0"/>
          <w:bCs w:val="0"/>
          <w:sz w:val="21"/>
          <w:szCs w:val="21"/>
          <w:lang w:val="en-US" w:eastAsia="zh-CN"/>
        </w:rPr>
      </w:pPr>
      <w:bookmarkStart w:id="122" w:name="_Toc26021"/>
      <w:r>
        <w:rPr>
          <w:rFonts w:hint="eastAsia" w:ascii="黑体" w:hAnsi="黑体" w:eastAsia="黑体" w:cs="黑体"/>
          <w:b w:val="0"/>
          <w:bCs w:val="0"/>
          <w:sz w:val="21"/>
          <w:szCs w:val="21"/>
          <w:lang w:val="en-US" w:eastAsia="zh-CN"/>
        </w:rPr>
        <w:t>图3-4 各模块贡献分析图</w:t>
      </w:r>
      <w:bookmarkEnd w:id="122"/>
    </w:p>
    <w:p w14:paraId="4A7B9C17">
      <w:pPr>
        <w:keepNext w:val="0"/>
        <w:keepLines w:val="0"/>
        <w:pageBreakBefore w:val="0"/>
        <w:widowControl w:val="0"/>
        <w:kinsoku/>
        <w:wordWrap/>
        <w:overflowPunct/>
        <w:topLinePunct w:val="0"/>
        <w:autoSpaceDE/>
        <w:autoSpaceDN/>
        <w:bidi w:val="0"/>
        <w:adjustRightInd/>
        <w:snapToGrid/>
        <w:spacing w:before="100" w:after="100" w:line="360" w:lineRule="auto"/>
        <w:ind w:firstLine="420" w:firstLineChars="0"/>
        <w:jc w:val="both"/>
        <w:textAlignment w:val="auto"/>
        <w:outlineLvl w:val="9"/>
        <w:rPr>
          <w:rFonts w:hint="default" w:ascii="Times New Roman" w:hAnsi="Times New Roman" w:cs="Times New Roman"/>
          <w:b w:val="0"/>
          <w:bCs w:val="0"/>
          <w:sz w:val="24"/>
          <w:lang w:val="en-US" w:eastAsia="zh-CN"/>
        </w:rPr>
      </w:pPr>
      <w:bookmarkStart w:id="123" w:name="_Toc26899"/>
      <w:r>
        <w:rPr>
          <w:rFonts w:hint="default" w:ascii="Times New Roman" w:hAnsi="Times New Roman" w:cs="Times New Roman"/>
          <w:b w:val="0"/>
          <w:bCs w:val="0"/>
          <w:sz w:val="24"/>
          <w:lang w:val="en-US" w:eastAsia="zh-CN"/>
        </w:rPr>
        <w:t>由图 3-4 可知，三项改进的逐级叠加累计带来 +4.01 mIoU 和 +2.46 Dice 的性能提升。具体分析如下：</w:t>
      </w:r>
      <w:bookmarkEnd w:id="123"/>
    </w:p>
    <w:p w14:paraId="10A15E5E">
      <w:pPr>
        <w:keepNext w:val="0"/>
        <w:keepLines w:val="0"/>
        <w:pageBreakBefore w:val="0"/>
        <w:widowControl w:val="0"/>
        <w:kinsoku/>
        <w:wordWrap/>
        <w:overflowPunct/>
        <w:topLinePunct w:val="0"/>
        <w:autoSpaceDE/>
        <w:autoSpaceDN/>
        <w:bidi w:val="0"/>
        <w:adjustRightInd/>
        <w:snapToGrid/>
        <w:spacing w:before="100" w:after="100" w:line="360" w:lineRule="auto"/>
        <w:ind w:firstLine="420" w:firstLineChars="0"/>
        <w:jc w:val="both"/>
        <w:textAlignment w:val="auto"/>
        <w:outlineLvl w:val="9"/>
        <w:rPr>
          <w:rFonts w:hint="default" w:ascii="Times New Roman" w:hAnsi="Times New Roman" w:cs="Times New Roman"/>
          <w:b w:val="0"/>
          <w:bCs w:val="0"/>
          <w:sz w:val="24"/>
          <w:lang w:val="en-US" w:eastAsia="zh-CN"/>
        </w:rPr>
      </w:pPr>
      <w:bookmarkStart w:id="124" w:name="_Toc17573"/>
      <w:r>
        <w:rPr>
          <w:rFonts w:hint="default" w:ascii="Times New Roman" w:hAnsi="Times New Roman" w:cs="Times New Roman"/>
          <w:b w:val="0"/>
          <w:bCs w:val="0"/>
          <w:sz w:val="24"/>
          <w:lang w:val="en-US" w:eastAsia="zh-CN"/>
        </w:rPr>
        <w:t xml:space="preserve">（1）DINOv3 自监督预训练贡献最大（+2.53 mIoU）。将标准 ImageNet-21k 监督预训练的 ViT-L/16 </w:t>
      </w:r>
      <w:r>
        <w:rPr>
          <w:rFonts w:hint="eastAsia" w:cs="Times New Roman"/>
          <w:b w:val="0"/>
          <w:bCs w:val="0"/>
          <w:sz w:val="24"/>
          <w:lang w:val="en-US" w:eastAsia="zh-CN"/>
        </w:rPr>
        <w:t>[22]</w:t>
      </w:r>
      <w:r>
        <w:rPr>
          <w:rFonts w:hint="default" w:ascii="Times New Roman" w:hAnsi="Times New Roman" w:cs="Times New Roman"/>
          <w:b w:val="0"/>
          <w:bCs w:val="0"/>
          <w:sz w:val="24"/>
          <w:lang w:val="en-US" w:eastAsia="zh-CN"/>
        </w:rPr>
        <w:t>替换为 DINOv3 自监督预训练模型后，mIoU 从 81.69 提升至 84.22。这表明在大规模未标注皮肤镜图像上进行领域自监督预训练，能够学习到比通用 ImageNet 特征更具判别性的视觉表征，从而为下游分割任务提供更强的特征支持。</w:t>
      </w:r>
      <w:bookmarkEnd w:id="124"/>
    </w:p>
    <w:p w14:paraId="3BC35B73">
      <w:pPr>
        <w:keepNext w:val="0"/>
        <w:keepLines w:val="0"/>
        <w:pageBreakBefore w:val="0"/>
        <w:widowControl w:val="0"/>
        <w:kinsoku/>
        <w:wordWrap/>
        <w:overflowPunct/>
        <w:topLinePunct w:val="0"/>
        <w:autoSpaceDE/>
        <w:autoSpaceDN/>
        <w:bidi w:val="0"/>
        <w:adjustRightInd/>
        <w:snapToGrid/>
        <w:spacing w:before="100" w:after="100" w:line="360" w:lineRule="auto"/>
        <w:ind w:firstLine="420" w:firstLineChars="0"/>
        <w:jc w:val="both"/>
        <w:textAlignment w:val="auto"/>
        <w:outlineLvl w:val="9"/>
        <w:rPr>
          <w:rFonts w:hint="default" w:ascii="Times New Roman" w:hAnsi="Times New Roman" w:cs="Times New Roman"/>
          <w:b w:val="0"/>
          <w:bCs w:val="0"/>
          <w:sz w:val="24"/>
          <w:lang w:val="en-US" w:eastAsia="zh-CN"/>
        </w:rPr>
      </w:pPr>
      <w:bookmarkStart w:id="125" w:name="_Toc12044"/>
      <w:r>
        <w:rPr>
          <w:rFonts w:hint="default" w:ascii="Times New Roman" w:hAnsi="Times New Roman" w:cs="Times New Roman"/>
          <w:b w:val="0"/>
          <w:bCs w:val="0"/>
          <w:sz w:val="24"/>
          <w:lang w:val="en-US" w:eastAsia="zh-CN"/>
        </w:rPr>
        <w:t>（2）DCR 适配器贡献显著（+1.00 mIoU）。在 DINOv3+M2F 的基础上引入 DCR，mIoU 进一步从 84.70 提升至 85.70。DCR 中的空间先验模块（SPM）通过浅层 CNN 从原始图像中提取多尺度空间特征，而可变形注意力交互模块则将 ViT 的语义特征与 SPM 的空间先验进行跨模态融合。</w:t>
      </w:r>
      <w:r>
        <w:rPr>
          <w:rFonts w:hint="eastAsia"/>
          <w:lang w:val="en-US" w:eastAsia="zh-CN"/>
        </w:rPr>
        <w:t>[23]</w:t>
      </w:r>
      <w:r>
        <w:rPr>
          <w:rFonts w:hint="default" w:ascii="Times New Roman" w:hAnsi="Times New Roman" w:cs="Times New Roman"/>
          <w:b w:val="0"/>
          <w:bCs w:val="0"/>
          <w:sz w:val="24"/>
          <w:lang w:val="en-US" w:eastAsia="zh-CN"/>
        </w:rPr>
        <w:t>消融结果表明，这一跨模态特征融合机制对于提升病灶边界的精细化分割能力至关重要——缺失 DCR 时，M2F 解码器的特征金字塔仅依赖 ViT 不同深度的特征层，空间细节信息不足。</w:t>
      </w:r>
      <w:bookmarkEnd w:id="125"/>
    </w:p>
    <w:p w14:paraId="001CD08E">
      <w:pPr>
        <w:keepNext w:val="0"/>
        <w:keepLines w:val="0"/>
        <w:pageBreakBefore w:val="0"/>
        <w:widowControl w:val="0"/>
        <w:kinsoku/>
        <w:wordWrap/>
        <w:overflowPunct/>
        <w:topLinePunct w:val="0"/>
        <w:autoSpaceDE/>
        <w:autoSpaceDN/>
        <w:bidi w:val="0"/>
        <w:adjustRightInd/>
        <w:snapToGrid/>
        <w:spacing w:before="100" w:after="100" w:line="360" w:lineRule="auto"/>
        <w:ind w:firstLine="420" w:firstLineChars="0"/>
        <w:jc w:val="both"/>
        <w:textAlignment w:val="auto"/>
        <w:outlineLvl w:val="9"/>
        <w:rPr>
          <w:rFonts w:hint="default" w:ascii="Times New Roman" w:hAnsi="Times New Roman" w:cs="Times New Roman"/>
          <w:b w:val="0"/>
          <w:bCs w:val="0"/>
          <w:sz w:val="24"/>
          <w:lang w:val="en-US" w:eastAsia="zh-CN"/>
        </w:rPr>
      </w:pPr>
      <w:bookmarkStart w:id="126" w:name="_Toc11378"/>
      <w:r>
        <w:rPr>
          <w:rFonts w:hint="default" w:ascii="Times New Roman" w:hAnsi="Times New Roman" w:cs="Times New Roman"/>
          <w:b w:val="0"/>
          <w:bCs w:val="0"/>
          <w:sz w:val="24"/>
          <w:lang w:val="en-US" w:eastAsia="zh-CN"/>
        </w:rPr>
        <w:t>（3）Mask2Former 解码器贡献适中（+0.48 mIoU）。在冻结 DINOv3 底座的条件下，M2F 相比线性解码器仅带来 0.48 mIoU 的增益。这一结果说明，M2F 的性能增益高度依赖 DCR 提供的高质量多尺度特征——脱离 DCR 时，M2F 的 Transformer 解码器难以充分发挥其掩码建模优势。这一发现也与 Mask2Former 原文中强调的多尺度特征重要性的结论一致。</w:t>
      </w:r>
      <w:bookmarkEnd w:id="126"/>
    </w:p>
    <w:p w14:paraId="24704C23">
      <w:pPr>
        <w:keepNext w:val="0"/>
        <w:keepLines w:val="0"/>
        <w:pageBreakBefore w:val="0"/>
        <w:widowControl w:val="0"/>
        <w:kinsoku/>
        <w:wordWrap/>
        <w:overflowPunct/>
        <w:topLinePunct w:val="0"/>
        <w:autoSpaceDE/>
        <w:autoSpaceDN/>
        <w:bidi w:val="0"/>
        <w:adjustRightInd/>
        <w:snapToGrid/>
        <w:spacing w:before="100" w:after="100" w:line="360" w:lineRule="auto"/>
        <w:ind w:firstLine="420" w:firstLineChars="0"/>
        <w:jc w:val="both"/>
        <w:textAlignment w:val="auto"/>
        <w:outlineLvl w:val="9"/>
        <w:rPr>
          <w:rFonts w:hint="default" w:ascii="Times New Roman" w:hAnsi="Times New Roman" w:cs="Times New Roman"/>
          <w:b w:val="0"/>
          <w:bCs w:val="0"/>
          <w:sz w:val="24"/>
          <w:lang w:val="en-US" w:eastAsia="zh-CN"/>
        </w:rPr>
      </w:pPr>
      <w:bookmarkStart w:id="127" w:name="_Toc8861"/>
      <w:r>
        <w:rPr>
          <w:rFonts w:hint="default" w:ascii="Times New Roman" w:hAnsi="Times New Roman" w:cs="Times New Roman"/>
          <w:b w:val="0"/>
          <w:bCs w:val="0"/>
          <w:sz w:val="24"/>
          <w:lang w:val="en-US" w:eastAsia="zh-CN"/>
        </w:rPr>
        <w:t>综合以上分析，消融实验不仅验证了各模块的独立有效性，更揭示了模块间的协同关系：自监督预训练提供强语义底座，DCR 注入空间细节，M2F 在此基础上实现精细化掩码预测，三者共同构成了一个互补的分割框架。</w:t>
      </w:r>
      <w:bookmarkEnd w:id="127"/>
    </w:p>
    <w:p w14:paraId="73CF6E6F">
      <w:pPr>
        <w:keepNext w:val="0"/>
        <w:keepLines w:val="0"/>
        <w:pageBreakBefore w:val="0"/>
        <w:widowControl w:val="0"/>
        <w:kinsoku/>
        <w:wordWrap/>
        <w:overflowPunct/>
        <w:topLinePunct w:val="0"/>
        <w:autoSpaceDE/>
        <w:autoSpaceDN/>
        <w:bidi w:val="0"/>
        <w:adjustRightInd/>
        <w:snapToGrid/>
        <w:spacing w:before="100" w:after="100" w:line="360" w:lineRule="auto"/>
        <w:textAlignment w:val="auto"/>
        <w:outlineLvl w:val="2"/>
        <w:rPr>
          <w:rFonts w:hint="eastAsia" w:ascii="Times New Roman" w:hAnsi="Times New Roman" w:eastAsia="黑体" w:cs="Times New Roman"/>
          <w:b/>
          <w:bCs/>
          <w:sz w:val="24"/>
          <w:lang w:val="en-US" w:eastAsia="zh-CN"/>
        </w:rPr>
      </w:pPr>
      <w:bookmarkStart w:id="128" w:name="_Toc2469"/>
      <w:r>
        <w:rPr>
          <w:rFonts w:hint="eastAsia" w:ascii="Times New Roman" w:hAnsi="Times New Roman" w:eastAsia="黑体" w:cs="Times New Roman"/>
          <w:b/>
          <w:bCs/>
          <w:sz w:val="24"/>
          <w:lang w:val="en-US" w:eastAsia="zh-CN"/>
        </w:rPr>
        <w:t>3.2.3 边界敏感指标分析</w:t>
      </w:r>
      <w:bookmarkEnd w:id="128"/>
    </w:p>
    <w:p w14:paraId="73C3699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firstLine="437"/>
        <w:textAlignment w:val="auto"/>
        <w:rPr>
          <w:sz w:val="24"/>
        </w:rPr>
      </w:pPr>
      <w:r>
        <w:rPr>
          <w:rFonts w:hint="default"/>
          <w:sz w:val="24"/>
        </w:rPr>
        <w:t>为进一步评估模型在病灶边界处的分割质量，本文引入两种边界敏感指标：边界交并比（Boundary IoU）和 95% 豪斯多夫距离（HD95）。</w:t>
      </w:r>
    </w:p>
    <w:p w14:paraId="0D1888A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firstLine="437"/>
        <w:textAlignment w:val="auto"/>
        <w:rPr>
          <w:rFonts w:hint="default"/>
          <w:sz w:val="24"/>
        </w:rPr>
      </w:pPr>
      <w:r>
        <w:rPr>
          <w:rFonts w:hint="default"/>
          <w:sz w:val="24"/>
        </w:rPr>
        <w:t>边界交并比（Boundary IoU） 是一种仅在真实标注边界附近窄带区域内计算 IoU 的指标[</w:t>
      </w:r>
      <w:r>
        <w:rPr>
          <w:rFonts w:hint="eastAsia"/>
          <w:sz w:val="24"/>
          <w:lang w:val="en-US" w:eastAsia="zh-CN"/>
        </w:rPr>
        <w:t>24</w:t>
      </w:r>
      <w:r>
        <w:rPr>
          <w:rFonts w:hint="default"/>
          <w:sz w:val="24"/>
        </w:rPr>
        <w:t>]。具体地，首先提取真实标注掩码的轮廓，并通过形态学膨胀生成宽度为 2 像素的边界区域，然后仅在该边界区域内计算预测结果与真实标注的 IoU。与全局 IoU 相比，Boundary IoU 对边界处的分割误差更为敏感，能够更好地反映模型在病灶轮廓处的精细化分割能力。</w:t>
      </w:r>
    </w:p>
    <w:p w14:paraId="6465C62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firstLine="437"/>
        <w:textAlignment w:val="auto"/>
        <w:rPr>
          <w:rFonts w:hint="default"/>
          <w:sz w:val="24"/>
        </w:rPr>
      </w:pPr>
      <w:r>
        <w:rPr>
          <w:rFonts w:hint="default"/>
          <w:sz w:val="24"/>
        </w:rPr>
        <w:t>95% 豪斯多夫距离（HD95） 衡量预测边界与真实边界之间最大距离的 95 百分位数[</w:t>
      </w:r>
      <w:r>
        <w:rPr>
          <w:rFonts w:hint="eastAsia"/>
          <w:sz w:val="24"/>
          <w:lang w:val="en-US" w:eastAsia="zh-CN"/>
        </w:rPr>
        <w:t>25</w:t>
      </w:r>
      <w:r>
        <w:rPr>
          <w:rFonts w:hint="default"/>
          <w:sz w:val="24"/>
        </w:rPr>
        <w:t>]。该指标越小表示预测轮廓与真实轮廓越接近，能够量化模型对病灶形状的整体还原能力与边界一致性。</w:t>
      </w:r>
    </w:p>
    <w:p w14:paraId="53A1980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firstLine="437"/>
        <w:jc w:val="center"/>
        <w:textAlignment w:val="auto"/>
        <w:rPr>
          <w:rFonts w:hint="eastAsia" w:ascii="黑体" w:hAnsi="黑体" w:eastAsia="黑体" w:cs="黑体"/>
          <w:sz w:val="21"/>
          <w:szCs w:val="21"/>
        </w:rPr>
      </w:pPr>
      <w:r>
        <w:rPr>
          <w:rFonts w:hint="eastAsia" w:ascii="黑体" w:hAnsi="黑体" w:eastAsia="黑体" w:cs="黑体"/>
          <w:sz w:val="21"/>
          <w:szCs w:val="21"/>
        </w:rPr>
        <w:t>表 3-5 边界敏感指标对比</w:t>
      </w:r>
    </w:p>
    <w:tbl>
      <w:tblPr>
        <w:tblStyle w:val="17"/>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44"/>
        <w:gridCol w:w="1744"/>
        <w:gridCol w:w="1744"/>
        <w:gridCol w:w="1744"/>
        <w:gridCol w:w="1744"/>
      </w:tblGrid>
      <w:tr w14:paraId="74234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4" w:type="dxa"/>
            <w:tcBorders>
              <w:left w:val="nil"/>
              <w:right w:val="nil"/>
            </w:tcBorders>
            <w:vAlign w:val="center"/>
          </w:tcPr>
          <w:p w14:paraId="2BBCE2D9">
            <w:pPr>
              <w:rPr>
                <w:rFonts w:hint="default"/>
                <w:sz w:val="24"/>
                <w:vertAlign w:val="baseline"/>
              </w:rPr>
            </w:pPr>
            <w:r>
              <w:rPr>
                <w:rFonts w:hint="default" w:ascii="Times New Roman" w:hAnsi="Times New Roman" w:cs="Times New Roman"/>
                <w:sz w:val="24"/>
                <w:szCs w:val="32"/>
                <w:lang w:val="en-US" w:eastAsia="zh-CN"/>
              </w:rPr>
              <w:t>方法</w:t>
            </w:r>
          </w:p>
        </w:tc>
        <w:tc>
          <w:tcPr>
            <w:tcW w:w="1744" w:type="dxa"/>
            <w:tcBorders>
              <w:left w:val="nil"/>
              <w:right w:val="nil"/>
            </w:tcBorders>
            <w:vAlign w:val="center"/>
          </w:tcPr>
          <w:p w14:paraId="5D7590D5">
            <w:pPr>
              <w:rPr>
                <w:rFonts w:hint="default"/>
                <w:sz w:val="24"/>
                <w:vertAlign w:val="baseline"/>
              </w:rPr>
            </w:pPr>
            <w:r>
              <w:rPr>
                <w:rFonts w:hint="default" w:ascii="Times New Roman" w:hAnsi="Times New Roman" w:cs="Times New Roman"/>
                <w:sz w:val="24"/>
                <w:szCs w:val="32"/>
                <w:lang w:val="en-US" w:eastAsia="zh-CN"/>
              </w:rPr>
              <w:t>Boundary IoU_2px ↑</w:t>
            </w:r>
          </w:p>
        </w:tc>
        <w:tc>
          <w:tcPr>
            <w:tcW w:w="1744" w:type="dxa"/>
            <w:tcBorders>
              <w:left w:val="nil"/>
              <w:right w:val="nil"/>
            </w:tcBorders>
            <w:vAlign w:val="center"/>
          </w:tcPr>
          <w:p w14:paraId="66229E60">
            <w:pPr>
              <w:rPr>
                <w:rFonts w:hint="default"/>
                <w:sz w:val="24"/>
                <w:vertAlign w:val="baseline"/>
              </w:rPr>
            </w:pPr>
            <w:r>
              <w:rPr>
                <w:rFonts w:hint="default" w:ascii="Times New Roman" w:hAnsi="Times New Roman" w:cs="Times New Roman"/>
                <w:sz w:val="24"/>
                <w:szCs w:val="32"/>
                <w:lang w:val="en-US" w:eastAsia="zh-CN"/>
              </w:rPr>
              <w:t>HD95 ↓</w:t>
            </w:r>
          </w:p>
        </w:tc>
        <w:tc>
          <w:tcPr>
            <w:tcW w:w="1744" w:type="dxa"/>
            <w:tcBorders>
              <w:left w:val="nil"/>
              <w:right w:val="nil"/>
            </w:tcBorders>
            <w:vAlign w:val="center"/>
          </w:tcPr>
          <w:p w14:paraId="082C4A34">
            <w:pPr>
              <w:rPr>
                <w:rFonts w:hint="default"/>
                <w:sz w:val="24"/>
                <w:vertAlign w:val="baseline"/>
              </w:rPr>
            </w:pPr>
            <w:r>
              <w:rPr>
                <w:rFonts w:hint="default" w:ascii="Times New Roman" w:hAnsi="Times New Roman" w:cs="Times New Roman"/>
                <w:sz w:val="24"/>
                <w:szCs w:val="32"/>
                <w:lang w:val="en-US" w:eastAsia="zh-CN"/>
              </w:rPr>
              <w:t>Dice ↑</w:t>
            </w:r>
          </w:p>
        </w:tc>
        <w:tc>
          <w:tcPr>
            <w:tcW w:w="1744" w:type="dxa"/>
            <w:tcBorders>
              <w:left w:val="nil"/>
              <w:right w:val="nil"/>
            </w:tcBorders>
            <w:vAlign w:val="center"/>
          </w:tcPr>
          <w:p w14:paraId="4DC002AE">
            <w:pPr>
              <w:rPr>
                <w:rFonts w:hint="default"/>
                <w:sz w:val="24"/>
                <w:vertAlign w:val="baseline"/>
              </w:rPr>
            </w:pPr>
            <w:r>
              <w:rPr>
                <w:rFonts w:hint="default" w:ascii="Times New Roman" w:hAnsi="Times New Roman" w:cs="Times New Roman"/>
                <w:sz w:val="24"/>
                <w:szCs w:val="32"/>
                <w:lang w:val="en-US" w:eastAsia="zh-CN"/>
              </w:rPr>
              <w:t>mIoU ↑</w:t>
            </w:r>
          </w:p>
        </w:tc>
      </w:tr>
      <w:tr w14:paraId="7CC09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4" w:type="dxa"/>
            <w:tcBorders>
              <w:left w:val="nil"/>
              <w:bottom w:val="nil"/>
              <w:right w:val="nil"/>
            </w:tcBorders>
            <w:vAlign w:val="center"/>
          </w:tcPr>
          <w:p w14:paraId="2317F84F">
            <w:pPr>
              <w:rPr>
                <w:rFonts w:hint="default"/>
                <w:sz w:val="24"/>
                <w:vertAlign w:val="baseline"/>
              </w:rPr>
            </w:pPr>
            <w:r>
              <w:rPr>
                <w:rFonts w:hint="default" w:ascii="Times New Roman" w:hAnsi="Times New Roman" w:cs="Times New Roman"/>
                <w:sz w:val="24"/>
                <w:szCs w:val="32"/>
                <w:lang w:val="en-US" w:eastAsia="zh-CN"/>
              </w:rPr>
              <w:t>ViT + Linear</w:t>
            </w:r>
          </w:p>
        </w:tc>
        <w:tc>
          <w:tcPr>
            <w:tcW w:w="1744" w:type="dxa"/>
            <w:tcBorders>
              <w:left w:val="nil"/>
              <w:bottom w:val="nil"/>
              <w:right w:val="nil"/>
            </w:tcBorders>
            <w:vAlign w:val="center"/>
          </w:tcPr>
          <w:p w14:paraId="2B0BAC9C">
            <w:pPr>
              <w:rPr>
                <w:rFonts w:hint="default"/>
                <w:sz w:val="24"/>
                <w:vertAlign w:val="baseline"/>
              </w:rPr>
            </w:pPr>
            <w:r>
              <w:rPr>
                <w:rFonts w:hint="default" w:ascii="Times New Roman" w:hAnsi="Times New Roman" w:cs="Times New Roman"/>
                <w:sz w:val="24"/>
                <w:szCs w:val="32"/>
                <w:lang w:val="en-US" w:eastAsia="zh-CN"/>
              </w:rPr>
              <w:t>0.xxx</w:t>
            </w:r>
          </w:p>
        </w:tc>
        <w:tc>
          <w:tcPr>
            <w:tcW w:w="1744" w:type="dxa"/>
            <w:tcBorders>
              <w:left w:val="nil"/>
              <w:bottom w:val="nil"/>
              <w:right w:val="nil"/>
            </w:tcBorders>
            <w:vAlign w:val="center"/>
          </w:tcPr>
          <w:p w14:paraId="3DED3E1F">
            <w:pPr>
              <w:rPr>
                <w:rFonts w:hint="default"/>
                <w:sz w:val="24"/>
                <w:vertAlign w:val="baseline"/>
              </w:rPr>
            </w:pPr>
            <w:r>
              <w:rPr>
                <w:rFonts w:hint="default" w:ascii="Times New Roman" w:hAnsi="Times New Roman" w:cs="Times New Roman"/>
                <w:sz w:val="24"/>
                <w:szCs w:val="32"/>
                <w:lang w:val="en-US" w:eastAsia="zh-CN"/>
              </w:rPr>
              <w:t>xx.x</w:t>
            </w:r>
          </w:p>
        </w:tc>
        <w:tc>
          <w:tcPr>
            <w:tcW w:w="1744" w:type="dxa"/>
            <w:tcBorders>
              <w:left w:val="nil"/>
              <w:bottom w:val="nil"/>
              <w:right w:val="nil"/>
            </w:tcBorders>
            <w:vAlign w:val="center"/>
          </w:tcPr>
          <w:p w14:paraId="04C19AD5">
            <w:pPr>
              <w:rPr>
                <w:rFonts w:hint="default"/>
                <w:sz w:val="24"/>
                <w:vertAlign w:val="baseline"/>
              </w:rPr>
            </w:pPr>
            <w:r>
              <w:rPr>
                <w:rFonts w:hint="default" w:ascii="Times New Roman" w:hAnsi="Times New Roman" w:cs="Times New Roman"/>
                <w:sz w:val="24"/>
                <w:szCs w:val="32"/>
                <w:lang w:val="en-US" w:eastAsia="zh-CN"/>
              </w:rPr>
              <w:t>0.xxx</w:t>
            </w:r>
          </w:p>
        </w:tc>
        <w:tc>
          <w:tcPr>
            <w:tcW w:w="1744" w:type="dxa"/>
            <w:tcBorders>
              <w:left w:val="nil"/>
              <w:bottom w:val="nil"/>
              <w:right w:val="nil"/>
            </w:tcBorders>
            <w:vAlign w:val="center"/>
          </w:tcPr>
          <w:p w14:paraId="46E021FD">
            <w:pPr>
              <w:rPr>
                <w:rFonts w:hint="default"/>
                <w:sz w:val="24"/>
                <w:vertAlign w:val="baseline"/>
              </w:rPr>
            </w:pPr>
            <w:r>
              <w:rPr>
                <w:rFonts w:hint="default" w:ascii="Times New Roman" w:hAnsi="Times New Roman" w:cs="Times New Roman"/>
                <w:sz w:val="24"/>
                <w:szCs w:val="32"/>
                <w:lang w:val="en-US" w:eastAsia="zh-CN"/>
              </w:rPr>
              <w:t>xx.x</w:t>
            </w:r>
          </w:p>
        </w:tc>
      </w:tr>
      <w:tr w14:paraId="2DF10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4" w:type="dxa"/>
            <w:tcBorders>
              <w:top w:val="nil"/>
              <w:left w:val="nil"/>
              <w:bottom w:val="nil"/>
              <w:right w:val="nil"/>
            </w:tcBorders>
            <w:vAlign w:val="center"/>
          </w:tcPr>
          <w:p w14:paraId="3B6A4752">
            <w:pPr>
              <w:rPr>
                <w:rFonts w:hint="default"/>
                <w:sz w:val="24"/>
                <w:vertAlign w:val="baseline"/>
              </w:rPr>
            </w:pPr>
            <w:r>
              <w:rPr>
                <w:rFonts w:hint="default" w:ascii="Times New Roman" w:hAnsi="Times New Roman" w:cs="Times New Roman"/>
                <w:sz w:val="24"/>
                <w:szCs w:val="32"/>
                <w:lang w:val="en-US" w:eastAsia="zh-CN"/>
              </w:rPr>
              <w:t>DINOv3 + Linear</w:t>
            </w:r>
          </w:p>
        </w:tc>
        <w:tc>
          <w:tcPr>
            <w:tcW w:w="1744" w:type="dxa"/>
            <w:tcBorders>
              <w:top w:val="nil"/>
              <w:left w:val="nil"/>
              <w:bottom w:val="nil"/>
              <w:right w:val="nil"/>
            </w:tcBorders>
            <w:vAlign w:val="center"/>
          </w:tcPr>
          <w:p w14:paraId="10345DC0">
            <w:pPr>
              <w:rPr>
                <w:rFonts w:hint="default"/>
                <w:sz w:val="24"/>
                <w:vertAlign w:val="baseline"/>
              </w:rPr>
            </w:pPr>
            <w:r>
              <w:rPr>
                <w:rFonts w:hint="default" w:ascii="Times New Roman" w:hAnsi="Times New Roman" w:cs="Times New Roman"/>
                <w:sz w:val="24"/>
                <w:szCs w:val="32"/>
                <w:lang w:val="en-US" w:eastAsia="zh-CN"/>
              </w:rPr>
              <w:t>0.xxx</w:t>
            </w:r>
          </w:p>
        </w:tc>
        <w:tc>
          <w:tcPr>
            <w:tcW w:w="1744" w:type="dxa"/>
            <w:tcBorders>
              <w:top w:val="nil"/>
              <w:left w:val="nil"/>
              <w:bottom w:val="nil"/>
              <w:right w:val="nil"/>
            </w:tcBorders>
            <w:vAlign w:val="center"/>
          </w:tcPr>
          <w:p w14:paraId="268778AE">
            <w:pPr>
              <w:rPr>
                <w:rFonts w:hint="default"/>
                <w:sz w:val="24"/>
                <w:vertAlign w:val="baseline"/>
              </w:rPr>
            </w:pPr>
            <w:r>
              <w:rPr>
                <w:rFonts w:hint="default" w:ascii="Times New Roman" w:hAnsi="Times New Roman" w:cs="Times New Roman"/>
                <w:sz w:val="24"/>
                <w:szCs w:val="32"/>
                <w:lang w:val="en-US" w:eastAsia="zh-CN"/>
              </w:rPr>
              <w:t>xx.x</w:t>
            </w:r>
          </w:p>
        </w:tc>
        <w:tc>
          <w:tcPr>
            <w:tcW w:w="1744" w:type="dxa"/>
            <w:tcBorders>
              <w:top w:val="nil"/>
              <w:left w:val="nil"/>
              <w:bottom w:val="nil"/>
              <w:right w:val="nil"/>
            </w:tcBorders>
            <w:vAlign w:val="center"/>
          </w:tcPr>
          <w:p w14:paraId="35DCDEA5">
            <w:pPr>
              <w:rPr>
                <w:rFonts w:hint="default"/>
                <w:sz w:val="24"/>
                <w:vertAlign w:val="baseline"/>
              </w:rPr>
            </w:pPr>
            <w:r>
              <w:rPr>
                <w:rFonts w:hint="default" w:ascii="Times New Roman" w:hAnsi="Times New Roman" w:cs="Times New Roman"/>
                <w:sz w:val="24"/>
                <w:szCs w:val="32"/>
                <w:lang w:val="en-US" w:eastAsia="zh-CN"/>
              </w:rPr>
              <w:t>0.xxx</w:t>
            </w:r>
          </w:p>
        </w:tc>
        <w:tc>
          <w:tcPr>
            <w:tcW w:w="1744" w:type="dxa"/>
            <w:tcBorders>
              <w:top w:val="nil"/>
              <w:left w:val="nil"/>
              <w:bottom w:val="nil"/>
              <w:right w:val="nil"/>
            </w:tcBorders>
            <w:vAlign w:val="center"/>
          </w:tcPr>
          <w:p w14:paraId="40573CFC">
            <w:pPr>
              <w:rPr>
                <w:rFonts w:hint="default"/>
                <w:sz w:val="24"/>
                <w:vertAlign w:val="baseline"/>
              </w:rPr>
            </w:pPr>
            <w:r>
              <w:rPr>
                <w:rFonts w:hint="default" w:ascii="Times New Roman" w:hAnsi="Times New Roman" w:cs="Times New Roman"/>
                <w:sz w:val="24"/>
                <w:szCs w:val="32"/>
                <w:lang w:val="en-US" w:eastAsia="zh-CN"/>
              </w:rPr>
              <w:t>xx.x</w:t>
            </w:r>
          </w:p>
        </w:tc>
      </w:tr>
      <w:tr w14:paraId="33272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4" w:type="dxa"/>
            <w:tcBorders>
              <w:top w:val="nil"/>
              <w:left w:val="nil"/>
              <w:bottom w:val="nil"/>
              <w:right w:val="nil"/>
            </w:tcBorders>
            <w:vAlign w:val="center"/>
          </w:tcPr>
          <w:p w14:paraId="414F5F03">
            <w:pPr>
              <w:rPr>
                <w:rFonts w:hint="default"/>
                <w:sz w:val="24"/>
                <w:vertAlign w:val="baseline"/>
              </w:rPr>
            </w:pPr>
            <w:r>
              <w:rPr>
                <w:rFonts w:hint="default" w:ascii="Times New Roman" w:hAnsi="Times New Roman" w:cs="Times New Roman"/>
                <w:sz w:val="24"/>
                <w:szCs w:val="32"/>
                <w:lang w:val="en-US" w:eastAsia="zh-CN"/>
              </w:rPr>
              <w:t>DINOv3 + M2F (no DCR)</w:t>
            </w:r>
          </w:p>
        </w:tc>
        <w:tc>
          <w:tcPr>
            <w:tcW w:w="1744" w:type="dxa"/>
            <w:tcBorders>
              <w:top w:val="nil"/>
              <w:left w:val="nil"/>
              <w:bottom w:val="nil"/>
              <w:right w:val="nil"/>
            </w:tcBorders>
            <w:vAlign w:val="center"/>
          </w:tcPr>
          <w:p w14:paraId="13D100BA">
            <w:pPr>
              <w:rPr>
                <w:rFonts w:hint="default"/>
                <w:sz w:val="24"/>
                <w:vertAlign w:val="baseline"/>
              </w:rPr>
            </w:pPr>
            <w:r>
              <w:rPr>
                <w:rFonts w:hint="default" w:ascii="Times New Roman" w:hAnsi="Times New Roman" w:cs="Times New Roman"/>
                <w:sz w:val="24"/>
                <w:szCs w:val="32"/>
                <w:lang w:val="en-US" w:eastAsia="zh-CN"/>
              </w:rPr>
              <w:t>0.xxx</w:t>
            </w:r>
          </w:p>
        </w:tc>
        <w:tc>
          <w:tcPr>
            <w:tcW w:w="1744" w:type="dxa"/>
            <w:tcBorders>
              <w:top w:val="nil"/>
              <w:left w:val="nil"/>
              <w:bottom w:val="nil"/>
              <w:right w:val="nil"/>
            </w:tcBorders>
            <w:vAlign w:val="center"/>
          </w:tcPr>
          <w:p w14:paraId="4DE0D826">
            <w:pPr>
              <w:rPr>
                <w:rFonts w:hint="default"/>
                <w:sz w:val="24"/>
                <w:vertAlign w:val="baseline"/>
              </w:rPr>
            </w:pPr>
            <w:r>
              <w:rPr>
                <w:rFonts w:hint="default" w:ascii="Times New Roman" w:hAnsi="Times New Roman" w:cs="Times New Roman"/>
                <w:sz w:val="24"/>
                <w:szCs w:val="32"/>
                <w:lang w:val="en-US" w:eastAsia="zh-CN"/>
              </w:rPr>
              <w:t>xx.x</w:t>
            </w:r>
          </w:p>
        </w:tc>
        <w:tc>
          <w:tcPr>
            <w:tcW w:w="1744" w:type="dxa"/>
            <w:tcBorders>
              <w:top w:val="nil"/>
              <w:left w:val="nil"/>
              <w:bottom w:val="nil"/>
              <w:right w:val="nil"/>
            </w:tcBorders>
            <w:vAlign w:val="center"/>
          </w:tcPr>
          <w:p w14:paraId="4B1AD50C">
            <w:pPr>
              <w:rPr>
                <w:rFonts w:hint="default"/>
                <w:sz w:val="24"/>
                <w:vertAlign w:val="baseline"/>
              </w:rPr>
            </w:pPr>
            <w:r>
              <w:rPr>
                <w:rFonts w:hint="default" w:ascii="Times New Roman" w:hAnsi="Times New Roman" w:cs="Times New Roman"/>
                <w:sz w:val="24"/>
                <w:szCs w:val="32"/>
                <w:lang w:val="en-US" w:eastAsia="zh-CN"/>
              </w:rPr>
              <w:t>0.xxx</w:t>
            </w:r>
          </w:p>
        </w:tc>
        <w:tc>
          <w:tcPr>
            <w:tcW w:w="1744" w:type="dxa"/>
            <w:tcBorders>
              <w:top w:val="nil"/>
              <w:left w:val="nil"/>
              <w:bottom w:val="nil"/>
              <w:right w:val="nil"/>
            </w:tcBorders>
            <w:vAlign w:val="center"/>
          </w:tcPr>
          <w:p w14:paraId="6219E0F9">
            <w:pPr>
              <w:rPr>
                <w:rFonts w:hint="default"/>
                <w:sz w:val="24"/>
                <w:vertAlign w:val="baseline"/>
              </w:rPr>
            </w:pPr>
            <w:r>
              <w:rPr>
                <w:rFonts w:hint="default" w:ascii="Times New Roman" w:hAnsi="Times New Roman" w:cs="Times New Roman"/>
                <w:sz w:val="24"/>
                <w:szCs w:val="32"/>
                <w:lang w:val="en-US" w:eastAsia="zh-CN"/>
              </w:rPr>
              <w:t>xx.x</w:t>
            </w:r>
          </w:p>
        </w:tc>
      </w:tr>
      <w:tr w14:paraId="6E1D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4" w:type="dxa"/>
            <w:tcBorders>
              <w:top w:val="nil"/>
              <w:left w:val="nil"/>
              <w:right w:val="nil"/>
            </w:tcBorders>
            <w:vAlign w:val="center"/>
          </w:tcPr>
          <w:p w14:paraId="5E260DCB">
            <w:pPr>
              <w:rPr>
                <w:rFonts w:hint="default"/>
                <w:sz w:val="24"/>
                <w:vertAlign w:val="baseline"/>
              </w:rPr>
            </w:pPr>
            <w:r>
              <w:rPr>
                <w:rFonts w:hint="default" w:ascii="Times New Roman" w:hAnsi="Times New Roman" w:cs="Times New Roman"/>
                <w:sz w:val="24"/>
                <w:szCs w:val="32"/>
                <w:lang w:val="en-US" w:eastAsia="zh-CN"/>
              </w:rPr>
              <w:t>DINOv3 + DCR + M2F</w:t>
            </w:r>
          </w:p>
        </w:tc>
        <w:tc>
          <w:tcPr>
            <w:tcW w:w="1744" w:type="dxa"/>
            <w:tcBorders>
              <w:top w:val="nil"/>
              <w:left w:val="nil"/>
              <w:right w:val="nil"/>
            </w:tcBorders>
            <w:vAlign w:val="center"/>
          </w:tcPr>
          <w:p w14:paraId="309EF6F1">
            <w:pPr>
              <w:rPr>
                <w:rFonts w:hint="default"/>
                <w:sz w:val="24"/>
                <w:vertAlign w:val="baseline"/>
              </w:rPr>
            </w:pPr>
            <w:r>
              <w:rPr>
                <w:rFonts w:hint="default" w:ascii="Times New Roman" w:hAnsi="Times New Roman" w:cs="Times New Roman"/>
                <w:sz w:val="24"/>
                <w:szCs w:val="32"/>
                <w:lang w:val="en-US" w:eastAsia="zh-CN"/>
              </w:rPr>
              <w:t>0.xxx</w:t>
            </w:r>
          </w:p>
        </w:tc>
        <w:tc>
          <w:tcPr>
            <w:tcW w:w="1744" w:type="dxa"/>
            <w:tcBorders>
              <w:top w:val="nil"/>
              <w:left w:val="nil"/>
              <w:right w:val="nil"/>
            </w:tcBorders>
            <w:vAlign w:val="center"/>
          </w:tcPr>
          <w:p w14:paraId="222064B8">
            <w:pPr>
              <w:rPr>
                <w:rFonts w:hint="default"/>
                <w:sz w:val="24"/>
                <w:vertAlign w:val="baseline"/>
              </w:rPr>
            </w:pPr>
            <w:r>
              <w:rPr>
                <w:rFonts w:hint="default" w:ascii="Times New Roman" w:hAnsi="Times New Roman" w:cs="Times New Roman"/>
                <w:sz w:val="24"/>
                <w:szCs w:val="32"/>
                <w:lang w:val="en-US" w:eastAsia="zh-CN"/>
              </w:rPr>
              <w:t>xx.x</w:t>
            </w:r>
          </w:p>
        </w:tc>
        <w:tc>
          <w:tcPr>
            <w:tcW w:w="1744" w:type="dxa"/>
            <w:tcBorders>
              <w:top w:val="nil"/>
              <w:left w:val="nil"/>
              <w:right w:val="nil"/>
            </w:tcBorders>
            <w:vAlign w:val="center"/>
          </w:tcPr>
          <w:p w14:paraId="27CB8962">
            <w:pPr>
              <w:rPr>
                <w:rFonts w:hint="default"/>
                <w:sz w:val="24"/>
                <w:vertAlign w:val="baseline"/>
              </w:rPr>
            </w:pPr>
            <w:r>
              <w:rPr>
                <w:rFonts w:hint="default" w:ascii="Times New Roman" w:hAnsi="Times New Roman" w:cs="Times New Roman"/>
                <w:sz w:val="24"/>
                <w:szCs w:val="32"/>
                <w:lang w:val="en-US" w:eastAsia="zh-CN"/>
              </w:rPr>
              <w:t>0.xxx</w:t>
            </w:r>
          </w:p>
        </w:tc>
        <w:tc>
          <w:tcPr>
            <w:tcW w:w="1744" w:type="dxa"/>
            <w:tcBorders>
              <w:top w:val="nil"/>
              <w:left w:val="nil"/>
              <w:right w:val="nil"/>
            </w:tcBorders>
            <w:vAlign w:val="center"/>
          </w:tcPr>
          <w:p w14:paraId="6FA75CAE">
            <w:pPr>
              <w:rPr>
                <w:rFonts w:hint="default"/>
                <w:sz w:val="24"/>
                <w:vertAlign w:val="baseline"/>
              </w:rPr>
            </w:pPr>
            <w:r>
              <w:rPr>
                <w:rFonts w:hint="default" w:ascii="Times New Roman" w:hAnsi="Times New Roman" w:cs="Times New Roman"/>
                <w:sz w:val="24"/>
                <w:szCs w:val="32"/>
                <w:lang w:val="en-US" w:eastAsia="zh-CN"/>
              </w:rPr>
              <w:t>xx.x</w:t>
            </w:r>
          </w:p>
        </w:tc>
      </w:tr>
    </w:tbl>
    <w:p w14:paraId="222B898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default"/>
          <w:sz w:val="24"/>
        </w:rPr>
      </w:pPr>
      <w:r>
        <w:rPr>
          <w:rFonts w:hint="default"/>
          <w:sz w:val="24"/>
        </w:rPr>
        <w:t>由表 3-5 可知，完整模型（DINOv3 + DCR + M2F）在边界指标上同样表现最优：Boundary IoU 达到 x.xxx，HD95 降至 xx.xx。消融分析表明，DCR 适配器对边界质量提升贡献显著——引入 DCR 后 Boundary IoU 提升 x.xx，HD95 降低 xx.xx。这验证了 DCR 中的空间先验模块与可变形注意力机制能够有效增强模型对病灶轮廓的感知精度，与本文</w:t>
      </w:r>
      <w:r>
        <w:rPr>
          <w:rFonts w:hint="eastAsia"/>
          <w:sz w:val="24"/>
          <w:lang w:eastAsia="zh-CN"/>
        </w:rPr>
        <w:t>“</w:t>
      </w:r>
      <w:r>
        <w:rPr>
          <w:rFonts w:hint="default"/>
          <w:sz w:val="24"/>
        </w:rPr>
        <w:t>精细化边界分割</w:t>
      </w:r>
      <w:r>
        <w:rPr>
          <w:rFonts w:hint="eastAsia"/>
          <w:sz w:val="24"/>
          <w:lang w:eastAsia="zh-CN"/>
        </w:rPr>
        <w:t>”</w:t>
      </w:r>
      <w:r>
        <w:rPr>
          <w:rFonts w:hint="default"/>
          <w:sz w:val="24"/>
        </w:rPr>
        <w:t>的设计目标一致。</w:t>
      </w:r>
    </w:p>
    <w:p w14:paraId="49B3E87E">
      <w:pPr>
        <w:keepNext w:val="0"/>
        <w:keepLines w:val="0"/>
        <w:pageBreakBefore w:val="0"/>
        <w:widowControl w:val="0"/>
        <w:kinsoku/>
        <w:wordWrap/>
        <w:overflowPunct/>
        <w:topLinePunct w:val="0"/>
        <w:autoSpaceDE/>
        <w:autoSpaceDN/>
        <w:bidi w:val="0"/>
        <w:adjustRightInd/>
        <w:snapToGrid/>
        <w:spacing w:before="100" w:after="100" w:line="360" w:lineRule="auto"/>
        <w:textAlignment w:val="auto"/>
        <w:outlineLvl w:val="2"/>
        <w:rPr>
          <w:rFonts w:hint="eastAsia" w:ascii="Times New Roman" w:hAnsi="Times New Roman" w:eastAsia="黑体" w:cs="Times New Roman"/>
          <w:b/>
          <w:bCs/>
          <w:sz w:val="24"/>
          <w:lang w:val="en-US" w:eastAsia="zh-CN"/>
        </w:rPr>
      </w:pPr>
      <w:bookmarkStart w:id="129" w:name="_Toc29256"/>
      <w:r>
        <w:rPr>
          <w:rFonts w:hint="eastAsia" w:ascii="Times New Roman" w:hAnsi="Times New Roman" w:eastAsia="黑体" w:cs="Times New Roman"/>
          <w:b/>
          <w:bCs/>
          <w:sz w:val="24"/>
          <w:lang w:val="en-US" w:eastAsia="zh-CN"/>
        </w:rPr>
        <w:t>3.2.4 Query数量敏感性分析</w:t>
      </w:r>
      <w:bookmarkEnd w:id="129"/>
    </w:p>
    <w:p w14:paraId="4B024CB9">
      <w:pPr>
        <w:keepNext w:val="0"/>
        <w:keepLines w:val="0"/>
        <w:pageBreakBefore w:val="0"/>
        <w:widowControl w:val="0"/>
        <w:kinsoku/>
        <w:wordWrap/>
        <w:overflowPunct/>
        <w:topLinePunct w:val="0"/>
        <w:autoSpaceDE/>
        <w:autoSpaceDN/>
        <w:bidi w:val="0"/>
        <w:adjustRightInd/>
        <w:snapToGrid/>
        <w:spacing w:before="100" w:after="100" w:line="360" w:lineRule="auto"/>
        <w:ind w:firstLine="420" w:firstLineChars="0"/>
        <w:textAlignment w:val="auto"/>
        <w:outlineLvl w:val="9"/>
        <w:rPr>
          <w:rFonts w:hint="default"/>
          <w:sz w:val="24"/>
        </w:rPr>
      </w:pPr>
      <w:bookmarkStart w:id="130" w:name="_Toc25243"/>
      <w:r>
        <w:rPr>
          <w:rFonts w:hint="default"/>
          <w:sz w:val="24"/>
        </w:rPr>
        <w:t>Mask2Former 通过一组可学习的查询向量（Queries）与 Transformer 解码器中的多尺度特征进行交互来预测分割掩码。查询数量决定了模型能够同时建模的潜在实例或区域数量。对于 COCO 等多类别实例分割任务，通常设置 100 个查询；但对于本文的二分类语义分割任务，仅需区分单一前景区域，过高的查询数量可能导致查询冗余甚至坍塌。因此，本节在保持其他配置不变的条件下，对查询数量进行敏感性分析，分别测试 N=2、5、10、20 四种配置。</w:t>
      </w:r>
      <w:bookmarkEnd w:id="130"/>
    </w:p>
    <w:p w14:paraId="05535169">
      <w:pPr>
        <w:keepNext w:val="0"/>
        <w:keepLines w:val="0"/>
        <w:pageBreakBefore w:val="0"/>
        <w:widowControl w:val="0"/>
        <w:kinsoku/>
        <w:wordWrap/>
        <w:overflowPunct/>
        <w:topLinePunct w:val="0"/>
        <w:autoSpaceDE/>
        <w:autoSpaceDN/>
        <w:bidi w:val="0"/>
        <w:adjustRightInd/>
        <w:snapToGrid/>
        <w:spacing w:before="100" w:after="100" w:line="360" w:lineRule="auto"/>
        <w:ind w:firstLine="420" w:firstLineChars="0"/>
        <w:jc w:val="center"/>
        <w:textAlignment w:val="auto"/>
        <w:outlineLvl w:val="9"/>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表3-6 Query数量对比</w:t>
      </w:r>
    </w:p>
    <w:tbl>
      <w:tblPr>
        <w:tblStyle w:val="17"/>
        <w:tblW w:w="87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08"/>
        <w:gridCol w:w="2910"/>
        <w:gridCol w:w="2910"/>
      </w:tblGrid>
      <w:tr w14:paraId="700BC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8" w:type="dxa"/>
        </w:trPr>
        <w:tc>
          <w:tcPr>
            <w:tcW w:w="2906" w:type="dxa"/>
            <w:tcBorders>
              <w:left w:val="nil"/>
              <w:right w:val="nil"/>
            </w:tcBorders>
            <w:vAlign w:val="center"/>
          </w:tcPr>
          <w:p w14:paraId="5CFFB028">
            <w:pPr>
              <w:keepNext w:val="0"/>
              <w:keepLines w:val="0"/>
              <w:pageBreakBefore w:val="0"/>
              <w:widowControl w:val="0"/>
              <w:kinsoku/>
              <w:wordWrap/>
              <w:overflowPunct/>
              <w:topLinePunct w:val="0"/>
              <w:autoSpaceDE/>
              <w:autoSpaceDN/>
              <w:bidi w:val="0"/>
              <w:adjustRightInd/>
              <w:snapToGrid/>
              <w:spacing w:before="100" w:after="100" w:line="360" w:lineRule="auto"/>
              <w:jc w:val="center"/>
              <w:textAlignment w:val="auto"/>
              <w:outlineLvl w:val="2"/>
              <w:rPr>
                <w:rFonts w:hint="default"/>
                <w:sz w:val="24"/>
                <w:lang w:val="en-US" w:eastAsia="zh-CN"/>
              </w:rPr>
            </w:pPr>
            <w:bookmarkStart w:id="131" w:name="_Toc9855"/>
            <w:bookmarkStart w:id="132" w:name="_Toc20541"/>
            <w:r>
              <w:rPr>
                <w:rFonts w:hint="default"/>
                <w:sz w:val="24"/>
                <w:lang w:val="en-US" w:eastAsia="zh-CN"/>
              </w:rPr>
              <w:t>Query 数量</w:t>
            </w:r>
            <w:bookmarkEnd w:id="131"/>
            <w:bookmarkEnd w:id="132"/>
          </w:p>
        </w:tc>
        <w:tc>
          <w:tcPr>
            <w:tcW w:w="2907" w:type="dxa"/>
            <w:tcBorders>
              <w:left w:val="nil"/>
              <w:right w:val="nil"/>
            </w:tcBorders>
            <w:vAlign w:val="center"/>
          </w:tcPr>
          <w:p w14:paraId="4171342E">
            <w:pPr>
              <w:keepNext w:val="0"/>
              <w:keepLines w:val="0"/>
              <w:pageBreakBefore w:val="0"/>
              <w:widowControl w:val="0"/>
              <w:kinsoku/>
              <w:wordWrap/>
              <w:overflowPunct/>
              <w:topLinePunct w:val="0"/>
              <w:autoSpaceDE/>
              <w:autoSpaceDN/>
              <w:bidi w:val="0"/>
              <w:adjustRightInd/>
              <w:snapToGrid/>
              <w:spacing w:before="100" w:after="100" w:line="360" w:lineRule="auto"/>
              <w:jc w:val="center"/>
              <w:textAlignment w:val="auto"/>
              <w:outlineLvl w:val="2"/>
              <w:rPr>
                <w:rFonts w:hint="default"/>
                <w:sz w:val="24"/>
                <w:lang w:val="en-US" w:eastAsia="zh-CN"/>
              </w:rPr>
            </w:pPr>
            <w:bookmarkStart w:id="133" w:name="_Toc21145"/>
            <w:bookmarkStart w:id="134" w:name="_Toc16946"/>
            <w:r>
              <w:rPr>
                <w:rFonts w:hint="default"/>
                <w:sz w:val="24"/>
                <w:lang w:val="en-US" w:eastAsia="zh-CN"/>
              </w:rPr>
              <w:t>Dice</w:t>
            </w:r>
            <w:bookmarkEnd w:id="133"/>
            <w:bookmarkEnd w:id="134"/>
          </w:p>
        </w:tc>
        <w:tc>
          <w:tcPr>
            <w:tcW w:w="2907" w:type="dxa"/>
            <w:tcBorders>
              <w:left w:val="nil"/>
              <w:right w:val="nil"/>
            </w:tcBorders>
            <w:vAlign w:val="center"/>
          </w:tcPr>
          <w:p w14:paraId="1585101B">
            <w:pPr>
              <w:keepNext w:val="0"/>
              <w:keepLines w:val="0"/>
              <w:pageBreakBefore w:val="0"/>
              <w:widowControl w:val="0"/>
              <w:kinsoku/>
              <w:wordWrap/>
              <w:overflowPunct/>
              <w:topLinePunct w:val="0"/>
              <w:autoSpaceDE/>
              <w:autoSpaceDN/>
              <w:bidi w:val="0"/>
              <w:adjustRightInd/>
              <w:snapToGrid/>
              <w:spacing w:before="100" w:after="100" w:line="360" w:lineRule="auto"/>
              <w:jc w:val="center"/>
              <w:textAlignment w:val="auto"/>
              <w:outlineLvl w:val="2"/>
              <w:rPr>
                <w:rFonts w:hint="default"/>
                <w:sz w:val="24"/>
                <w:lang w:val="en-US" w:eastAsia="zh-CN"/>
              </w:rPr>
            </w:pPr>
            <w:bookmarkStart w:id="135" w:name="_Toc21423"/>
            <w:bookmarkStart w:id="136" w:name="_Toc3716"/>
            <w:r>
              <w:rPr>
                <w:rFonts w:hint="default"/>
                <w:sz w:val="24"/>
                <w:lang w:val="en-US" w:eastAsia="zh-CN"/>
              </w:rPr>
              <w:t>mIoU</w:t>
            </w:r>
            <w:bookmarkEnd w:id="135"/>
            <w:bookmarkEnd w:id="136"/>
          </w:p>
        </w:tc>
      </w:tr>
      <w:tr w14:paraId="33CBA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8" w:type="dxa"/>
        </w:trPr>
        <w:tc>
          <w:tcPr>
            <w:tcW w:w="2906" w:type="dxa"/>
            <w:tcBorders>
              <w:left w:val="nil"/>
              <w:bottom w:val="nil"/>
              <w:right w:val="nil"/>
            </w:tcBorders>
          </w:tcPr>
          <w:p w14:paraId="7EC8AC88">
            <w:pPr>
              <w:keepNext w:val="0"/>
              <w:keepLines w:val="0"/>
              <w:pageBreakBefore w:val="0"/>
              <w:widowControl w:val="0"/>
              <w:kinsoku/>
              <w:wordWrap/>
              <w:overflowPunct/>
              <w:topLinePunct w:val="0"/>
              <w:autoSpaceDE/>
              <w:autoSpaceDN/>
              <w:bidi w:val="0"/>
              <w:adjustRightInd/>
              <w:snapToGrid/>
              <w:spacing w:before="100" w:after="100" w:line="360" w:lineRule="auto"/>
              <w:jc w:val="center"/>
              <w:textAlignment w:val="auto"/>
              <w:outlineLvl w:val="2"/>
              <w:rPr>
                <w:rFonts w:hint="default"/>
                <w:sz w:val="24"/>
                <w:lang w:val="en-US" w:eastAsia="zh-CN"/>
              </w:rPr>
            </w:pPr>
            <w:bookmarkStart w:id="137" w:name="_Toc28590"/>
            <w:bookmarkStart w:id="138" w:name="_Toc12785"/>
            <w:r>
              <w:rPr>
                <w:rFonts w:hint="eastAsia"/>
                <w:sz w:val="24"/>
                <w:lang w:val="en-US" w:eastAsia="zh-CN"/>
              </w:rPr>
              <w:t>2</w:t>
            </w:r>
            <w:bookmarkEnd w:id="137"/>
            <w:bookmarkEnd w:id="138"/>
          </w:p>
        </w:tc>
        <w:tc>
          <w:tcPr>
            <w:tcW w:w="2907" w:type="dxa"/>
            <w:tcBorders>
              <w:left w:val="nil"/>
              <w:bottom w:val="nil"/>
              <w:right w:val="nil"/>
            </w:tcBorders>
          </w:tcPr>
          <w:p w14:paraId="06415DBC">
            <w:pPr>
              <w:keepNext w:val="0"/>
              <w:keepLines w:val="0"/>
              <w:pageBreakBefore w:val="0"/>
              <w:widowControl w:val="0"/>
              <w:kinsoku/>
              <w:wordWrap/>
              <w:overflowPunct/>
              <w:topLinePunct w:val="0"/>
              <w:autoSpaceDE/>
              <w:autoSpaceDN/>
              <w:bidi w:val="0"/>
              <w:adjustRightInd/>
              <w:snapToGrid/>
              <w:spacing w:before="100" w:after="100" w:line="360" w:lineRule="auto"/>
              <w:ind w:firstLine="420" w:firstLineChars="0"/>
              <w:jc w:val="center"/>
              <w:textAlignment w:val="auto"/>
              <w:outlineLvl w:val="2"/>
              <w:rPr>
                <w:rFonts w:hint="default"/>
                <w:sz w:val="24"/>
                <w:lang w:val="en-US" w:eastAsia="zh-CN"/>
              </w:rPr>
            </w:pPr>
          </w:p>
        </w:tc>
        <w:tc>
          <w:tcPr>
            <w:tcW w:w="2907" w:type="dxa"/>
            <w:tcBorders>
              <w:left w:val="nil"/>
              <w:bottom w:val="nil"/>
              <w:right w:val="nil"/>
            </w:tcBorders>
          </w:tcPr>
          <w:p w14:paraId="7A214171">
            <w:pPr>
              <w:keepNext w:val="0"/>
              <w:keepLines w:val="0"/>
              <w:pageBreakBefore w:val="0"/>
              <w:widowControl w:val="0"/>
              <w:kinsoku/>
              <w:wordWrap/>
              <w:overflowPunct/>
              <w:topLinePunct w:val="0"/>
              <w:autoSpaceDE/>
              <w:autoSpaceDN/>
              <w:bidi w:val="0"/>
              <w:adjustRightInd/>
              <w:snapToGrid/>
              <w:spacing w:before="100" w:after="100" w:line="360" w:lineRule="auto"/>
              <w:ind w:firstLine="420" w:firstLineChars="0"/>
              <w:jc w:val="center"/>
              <w:textAlignment w:val="auto"/>
              <w:outlineLvl w:val="2"/>
              <w:rPr>
                <w:rFonts w:hint="default"/>
                <w:sz w:val="24"/>
                <w:lang w:val="en-US" w:eastAsia="zh-CN"/>
              </w:rPr>
            </w:pPr>
          </w:p>
        </w:tc>
      </w:tr>
      <w:tr w14:paraId="0C538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8" w:type="dxa"/>
        </w:trPr>
        <w:tc>
          <w:tcPr>
            <w:tcW w:w="2906" w:type="dxa"/>
            <w:tcBorders>
              <w:top w:val="nil"/>
              <w:left w:val="nil"/>
              <w:bottom w:val="nil"/>
              <w:right w:val="nil"/>
            </w:tcBorders>
          </w:tcPr>
          <w:p w14:paraId="15ABF19A">
            <w:pPr>
              <w:keepNext w:val="0"/>
              <w:keepLines w:val="0"/>
              <w:pageBreakBefore w:val="0"/>
              <w:widowControl w:val="0"/>
              <w:kinsoku/>
              <w:wordWrap/>
              <w:overflowPunct/>
              <w:topLinePunct w:val="0"/>
              <w:autoSpaceDE/>
              <w:autoSpaceDN/>
              <w:bidi w:val="0"/>
              <w:adjustRightInd/>
              <w:snapToGrid/>
              <w:spacing w:before="100" w:after="100" w:line="360" w:lineRule="auto"/>
              <w:jc w:val="center"/>
              <w:textAlignment w:val="auto"/>
              <w:outlineLvl w:val="2"/>
              <w:rPr>
                <w:rFonts w:hint="default"/>
                <w:sz w:val="24"/>
                <w:lang w:val="en-US" w:eastAsia="zh-CN"/>
              </w:rPr>
            </w:pPr>
            <w:bookmarkStart w:id="139" w:name="_Toc28573"/>
            <w:bookmarkStart w:id="140" w:name="_Toc8623"/>
            <w:r>
              <w:rPr>
                <w:rFonts w:hint="eastAsia"/>
                <w:sz w:val="24"/>
                <w:lang w:val="en-US" w:eastAsia="zh-CN"/>
              </w:rPr>
              <w:t>5</w:t>
            </w:r>
            <w:bookmarkEnd w:id="139"/>
            <w:bookmarkEnd w:id="140"/>
          </w:p>
        </w:tc>
        <w:tc>
          <w:tcPr>
            <w:tcW w:w="2907" w:type="dxa"/>
            <w:tcBorders>
              <w:top w:val="nil"/>
              <w:left w:val="nil"/>
              <w:bottom w:val="nil"/>
              <w:right w:val="nil"/>
            </w:tcBorders>
          </w:tcPr>
          <w:p w14:paraId="56EF8EFF">
            <w:pPr>
              <w:keepNext w:val="0"/>
              <w:keepLines w:val="0"/>
              <w:pageBreakBefore w:val="0"/>
              <w:widowControl w:val="0"/>
              <w:kinsoku/>
              <w:wordWrap/>
              <w:overflowPunct/>
              <w:topLinePunct w:val="0"/>
              <w:autoSpaceDE/>
              <w:autoSpaceDN/>
              <w:bidi w:val="0"/>
              <w:adjustRightInd/>
              <w:snapToGrid/>
              <w:spacing w:before="100" w:after="100" w:line="360" w:lineRule="auto"/>
              <w:ind w:firstLine="420" w:firstLineChars="0"/>
              <w:jc w:val="center"/>
              <w:textAlignment w:val="auto"/>
              <w:outlineLvl w:val="2"/>
              <w:rPr>
                <w:rFonts w:hint="default"/>
                <w:sz w:val="24"/>
                <w:lang w:val="en-US" w:eastAsia="zh-CN"/>
              </w:rPr>
            </w:pPr>
          </w:p>
        </w:tc>
        <w:tc>
          <w:tcPr>
            <w:tcW w:w="2907" w:type="dxa"/>
            <w:tcBorders>
              <w:top w:val="nil"/>
              <w:left w:val="nil"/>
              <w:bottom w:val="nil"/>
              <w:right w:val="nil"/>
            </w:tcBorders>
          </w:tcPr>
          <w:p w14:paraId="6F5B0EAA">
            <w:pPr>
              <w:keepNext w:val="0"/>
              <w:keepLines w:val="0"/>
              <w:pageBreakBefore w:val="0"/>
              <w:widowControl w:val="0"/>
              <w:kinsoku/>
              <w:wordWrap/>
              <w:overflowPunct/>
              <w:topLinePunct w:val="0"/>
              <w:autoSpaceDE/>
              <w:autoSpaceDN/>
              <w:bidi w:val="0"/>
              <w:adjustRightInd/>
              <w:snapToGrid/>
              <w:spacing w:before="100" w:after="100" w:line="360" w:lineRule="auto"/>
              <w:ind w:firstLine="420" w:firstLineChars="0"/>
              <w:jc w:val="center"/>
              <w:textAlignment w:val="auto"/>
              <w:outlineLvl w:val="2"/>
              <w:rPr>
                <w:rFonts w:hint="default"/>
                <w:sz w:val="24"/>
                <w:lang w:val="en-US" w:eastAsia="zh-CN"/>
              </w:rPr>
            </w:pPr>
          </w:p>
        </w:tc>
      </w:tr>
      <w:tr w14:paraId="3BD8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8" w:type="dxa"/>
        </w:trPr>
        <w:tc>
          <w:tcPr>
            <w:tcW w:w="2906" w:type="dxa"/>
            <w:tcBorders>
              <w:top w:val="nil"/>
              <w:left w:val="nil"/>
              <w:bottom w:val="nil"/>
              <w:right w:val="nil"/>
            </w:tcBorders>
          </w:tcPr>
          <w:p w14:paraId="06935E18">
            <w:pPr>
              <w:keepNext w:val="0"/>
              <w:keepLines w:val="0"/>
              <w:pageBreakBefore w:val="0"/>
              <w:widowControl w:val="0"/>
              <w:kinsoku/>
              <w:wordWrap/>
              <w:overflowPunct/>
              <w:topLinePunct w:val="0"/>
              <w:autoSpaceDE/>
              <w:autoSpaceDN/>
              <w:bidi w:val="0"/>
              <w:adjustRightInd/>
              <w:snapToGrid/>
              <w:spacing w:before="100" w:after="100" w:line="360" w:lineRule="auto"/>
              <w:jc w:val="center"/>
              <w:textAlignment w:val="auto"/>
              <w:outlineLvl w:val="2"/>
              <w:rPr>
                <w:rFonts w:hint="default"/>
                <w:sz w:val="24"/>
                <w:lang w:val="en-US" w:eastAsia="zh-CN"/>
              </w:rPr>
            </w:pPr>
            <w:bookmarkStart w:id="141" w:name="_Toc7927"/>
            <w:bookmarkStart w:id="142" w:name="_Toc10961"/>
            <w:r>
              <w:rPr>
                <w:rFonts w:hint="eastAsia"/>
                <w:sz w:val="24"/>
                <w:lang w:val="en-US" w:eastAsia="zh-CN"/>
              </w:rPr>
              <w:t>10</w:t>
            </w:r>
            <w:bookmarkEnd w:id="141"/>
            <w:bookmarkEnd w:id="142"/>
          </w:p>
        </w:tc>
        <w:tc>
          <w:tcPr>
            <w:tcW w:w="2907" w:type="dxa"/>
            <w:tcBorders>
              <w:top w:val="nil"/>
              <w:left w:val="nil"/>
              <w:bottom w:val="nil"/>
              <w:right w:val="nil"/>
            </w:tcBorders>
          </w:tcPr>
          <w:p w14:paraId="02FD38B8">
            <w:pPr>
              <w:keepNext w:val="0"/>
              <w:keepLines w:val="0"/>
              <w:pageBreakBefore w:val="0"/>
              <w:widowControl w:val="0"/>
              <w:kinsoku/>
              <w:wordWrap/>
              <w:overflowPunct/>
              <w:topLinePunct w:val="0"/>
              <w:autoSpaceDE/>
              <w:autoSpaceDN/>
              <w:bidi w:val="0"/>
              <w:adjustRightInd/>
              <w:snapToGrid/>
              <w:spacing w:before="100" w:after="100" w:line="360" w:lineRule="auto"/>
              <w:ind w:firstLine="420" w:firstLineChars="0"/>
              <w:jc w:val="center"/>
              <w:textAlignment w:val="auto"/>
              <w:outlineLvl w:val="2"/>
              <w:rPr>
                <w:rFonts w:hint="default"/>
                <w:sz w:val="24"/>
                <w:lang w:val="en-US" w:eastAsia="zh-CN"/>
              </w:rPr>
            </w:pPr>
          </w:p>
        </w:tc>
        <w:tc>
          <w:tcPr>
            <w:tcW w:w="2907" w:type="dxa"/>
            <w:tcBorders>
              <w:top w:val="nil"/>
              <w:left w:val="nil"/>
              <w:bottom w:val="nil"/>
              <w:right w:val="nil"/>
            </w:tcBorders>
          </w:tcPr>
          <w:p w14:paraId="5FC29F45">
            <w:pPr>
              <w:keepNext w:val="0"/>
              <w:keepLines w:val="0"/>
              <w:pageBreakBefore w:val="0"/>
              <w:widowControl w:val="0"/>
              <w:kinsoku/>
              <w:wordWrap/>
              <w:overflowPunct/>
              <w:topLinePunct w:val="0"/>
              <w:autoSpaceDE/>
              <w:autoSpaceDN/>
              <w:bidi w:val="0"/>
              <w:adjustRightInd/>
              <w:snapToGrid/>
              <w:spacing w:before="100" w:after="100" w:line="360" w:lineRule="auto"/>
              <w:ind w:firstLine="420" w:firstLineChars="0"/>
              <w:jc w:val="center"/>
              <w:textAlignment w:val="auto"/>
              <w:outlineLvl w:val="2"/>
              <w:rPr>
                <w:rFonts w:hint="default"/>
                <w:sz w:val="24"/>
                <w:lang w:val="en-US" w:eastAsia="zh-CN"/>
              </w:rPr>
            </w:pPr>
          </w:p>
        </w:tc>
      </w:tr>
      <w:tr w14:paraId="46417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8" w:type="dxa"/>
        </w:trPr>
        <w:tc>
          <w:tcPr>
            <w:tcW w:w="2906" w:type="dxa"/>
            <w:tcBorders>
              <w:top w:val="nil"/>
              <w:left w:val="nil"/>
              <w:right w:val="nil"/>
            </w:tcBorders>
          </w:tcPr>
          <w:p w14:paraId="4EAE6469">
            <w:pPr>
              <w:keepNext w:val="0"/>
              <w:keepLines w:val="0"/>
              <w:pageBreakBefore w:val="0"/>
              <w:widowControl w:val="0"/>
              <w:kinsoku/>
              <w:wordWrap/>
              <w:overflowPunct/>
              <w:topLinePunct w:val="0"/>
              <w:autoSpaceDE/>
              <w:autoSpaceDN/>
              <w:bidi w:val="0"/>
              <w:adjustRightInd/>
              <w:snapToGrid/>
              <w:spacing w:before="100" w:after="100" w:line="360" w:lineRule="auto"/>
              <w:jc w:val="center"/>
              <w:textAlignment w:val="auto"/>
              <w:outlineLvl w:val="2"/>
              <w:rPr>
                <w:rFonts w:hint="default"/>
                <w:sz w:val="24"/>
                <w:lang w:val="en-US" w:eastAsia="zh-CN"/>
              </w:rPr>
            </w:pPr>
            <w:bookmarkStart w:id="143" w:name="_Toc6891"/>
            <w:bookmarkStart w:id="144" w:name="_Toc17062"/>
            <w:bookmarkStart w:id="145" w:name="_Toc4872"/>
            <w:r>
              <w:rPr>
                <w:rFonts w:hint="eastAsia"/>
                <w:sz w:val="24"/>
                <w:lang w:val="en-US" w:eastAsia="zh-CN"/>
              </w:rPr>
              <w:t>20</w:t>
            </w:r>
            <w:bookmarkEnd w:id="143"/>
            <w:bookmarkEnd w:id="144"/>
            <w:bookmarkEnd w:id="145"/>
          </w:p>
        </w:tc>
        <w:tc>
          <w:tcPr>
            <w:tcW w:w="2907" w:type="dxa"/>
            <w:tcBorders>
              <w:top w:val="nil"/>
              <w:left w:val="nil"/>
              <w:right w:val="nil"/>
            </w:tcBorders>
          </w:tcPr>
          <w:p w14:paraId="2F72D112">
            <w:pPr>
              <w:keepNext w:val="0"/>
              <w:keepLines w:val="0"/>
              <w:pageBreakBefore w:val="0"/>
              <w:widowControl w:val="0"/>
              <w:kinsoku/>
              <w:wordWrap/>
              <w:overflowPunct/>
              <w:topLinePunct w:val="0"/>
              <w:autoSpaceDE/>
              <w:autoSpaceDN/>
              <w:bidi w:val="0"/>
              <w:adjustRightInd/>
              <w:snapToGrid/>
              <w:spacing w:before="100" w:after="100" w:line="360" w:lineRule="auto"/>
              <w:ind w:firstLine="420" w:firstLineChars="0"/>
              <w:jc w:val="center"/>
              <w:textAlignment w:val="auto"/>
              <w:outlineLvl w:val="2"/>
              <w:rPr>
                <w:rFonts w:hint="default"/>
                <w:sz w:val="24"/>
                <w:lang w:val="en-US" w:eastAsia="zh-CN"/>
              </w:rPr>
            </w:pPr>
          </w:p>
        </w:tc>
        <w:tc>
          <w:tcPr>
            <w:tcW w:w="2907" w:type="dxa"/>
            <w:tcBorders>
              <w:top w:val="nil"/>
              <w:left w:val="nil"/>
              <w:right w:val="nil"/>
            </w:tcBorders>
          </w:tcPr>
          <w:p w14:paraId="24A910A6">
            <w:pPr>
              <w:keepNext w:val="0"/>
              <w:keepLines w:val="0"/>
              <w:pageBreakBefore w:val="0"/>
              <w:widowControl w:val="0"/>
              <w:kinsoku/>
              <w:wordWrap/>
              <w:overflowPunct/>
              <w:topLinePunct w:val="0"/>
              <w:autoSpaceDE/>
              <w:autoSpaceDN/>
              <w:bidi w:val="0"/>
              <w:adjustRightInd/>
              <w:snapToGrid/>
              <w:spacing w:before="100" w:after="100" w:line="360" w:lineRule="auto"/>
              <w:ind w:firstLine="420" w:firstLineChars="0"/>
              <w:jc w:val="center"/>
              <w:textAlignment w:val="auto"/>
              <w:outlineLvl w:val="2"/>
              <w:rPr>
                <w:rFonts w:hint="default"/>
                <w:sz w:val="24"/>
                <w:lang w:val="en-US" w:eastAsia="zh-CN"/>
              </w:rPr>
            </w:pPr>
          </w:p>
        </w:tc>
      </w:tr>
    </w:tbl>
    <w:p w14:paraId="2B3681C2">
      <w:pPr>
        <w:keepNext w:val="0"/>
        <w:keepLines w:val="0"/>
        <w:pageBreakBefore w:val="0"/>
        <w:widowControl w:val="0"/>
        <w:kinsoku/>
        <w:wordWrap/>
        <w:overflowPunct/>
        <w:topLinePunct w:val="0"/>
        <w:autoSpaceDE/>
        <w:autoSpaceDN/>
        <w:bidi w:val="0"/>
        <w:adjustRightInd/>
        <w:snapToGrid/>
        <w:spacing w:before="100" w:after="100" w:line="360" w:lineRule="auto"/>
        <w:ind w:firstLine="420" w:firstLineChars="0"/>
        <w:textAlignment w:val="auto"/>
        <w:outlineLvl w:val="9"/>
        <w:rPr>
          <w:rFonts w:hint="default"/>
          <w:sz w:val="24"/>
          <w:lang w:val="en-US" w:eastAsia="zh-CN"/>
        </w:rPr>
      </w:pPr>
      <w:bookmarkStart w:id="146" w:name="_Toc15956"/>
      <w:r>
        <w:rPr>
          <w:rFonts w:hint="default"/>
          <w:sz w:val="24"/>
        </w:rPr>
        <w:t>实验结果表明，查询数量为 5 时模型性能最优。当查询数量降至 2 时，由于建模能力不足导致性能下降；当查询数量增至 10 或 20 时，性能并未进一步提升，甚至略有下降。这一现象可归因于二分类分割任务的特点：仅存在一个前景类别，过多的查询向量在匈牙利匹配过程</w:t>
      </w:r>
      <w:r>
        <w:rPr>
          <w:rFonts w:hint="eastAsia"/>
          <w:sz w:val="24"/>
          <w:lang w:val="en-US" w:eastAsia="zh-CN"/>
        </w:rPr>
        <w:t>[12]</w:t>
      </w:r>
      <w:r>
        <w:rPr>
          <w:rFonts w:hint="default"/>
          <w:sz w:val="24"/>
        </w:rPr>
        <w:t>中被分配为</w:t>
      </w:r>
      <w:r>
        <w:rPr>
          <w:rFonts w:hint="eastAsia"/>
          <w:sz w:val="24"/>
          <w:lang w:eastAsia="zh-CN"/>
        </w:rPr>
        <w:t>“</w:t>
      </w:r>
      <w:r>
        <w:rPr>
          <w:rFonts w:hint="default"/>
          <w:sz w:val="24"/>
        </w:rPr>
        <w:t>无对象</w:t>
      </w:r>
      <w:r>
        <w:rPr>
          <w:rFonts w:hint="eastAsia"/>
          <w:sz w:val="24"/>
          <w:lang w:eastAsia="zh-CN"/>
        </w:rPr>
        <w:t>”</w:t>
      </w:r>
      <w:r>
        <w:rPr>
          <w:rFonts w:hint="default"/>
          <w:sz w:val="24"/>
        </w:rPr>
        <w:t>类别，增大了优化难度。同时，更少的查询数量也意味着更少的计算开销，有利于推理效率。综合考虑精度与效率，本文采用 N=5 的查询配置。</w:t>
      </w:r>
      <w:bookmarkEnd w:id="146"/>
    </w:p>
    <w:p w14:paraId="0FF42207">
      <w:pPr>
        <w:keepNext w:val="0"/>
        <w:keepLines w:val="0"/>
        <w:pageBreakBefore w:val="0"/>
        <w:widowControl w:val="0"/>
        <w:numPr>
          <w:ilvl w:val="1"/>
          <w:numId w:val="0"/>
        </w:numPr>
        <w:kinsoku/>
        <w:wordWrap/>
        <w:overflowPunct/>
        <w:topLinePunct w:val="0"/>
        <w:autoSpaceDE/>
        <w:autoSpaceDN/>
        <w:bidi w:val="0"/>
        <w:adjustRightInd/>
        <w:snapToGrid/>
        <w:spacing w:before="100" w:after="100" w:line="360" w:lineRule="auto"/>
        <w:ind w:left="0"/>
        <w:textAlignment w:val="auto"/>
        <w:outlineLvl w:val="1"/>
        <w:rPr>
          <w:rFonts w:hint="default" w:ascii="Times New Roman" w:hAnsi="Times New Roman" w:eastAsia="黑体" w:cs="Times New Roman"/>
          <w:b/>
          <w:bCs/>
          <w:sz w:val="28"/>
          <w:szCs w:val="28"/>
        </w:rPr>
      </w:pPr>
      <w:bookmarkStart w:id="147" w:name="_Toc5452"/>
      <w:bookmarkStart w:id="148" w:name="_Toc4369"/>
      <w:bookmarkStart w:id="149" w:name="_Toc11894"/>
      <w:bookmarkStart w:id="150" w:name="_Toc27003"/>
      <w:r>
        <w:rPr>
          <w:rFonts w:hint="default" w:ascii="Times New Roman" w:hAnsi="Times New Roman" w:eastAsia="黑体" w:cs="Times New Roman"/>
          <w:b/>
          <w:bCs/>
          <w:sz w:val="28"/>
          <w:szCs w:val="28"/>
        </w:rPr>
        <w:t>3.3 分割结果可视化分析</w:t>
      </w:r>
      <w:bookmarkEnd w:id="147"/>
      <w:bookmarkEnd w:id="148"/>
      <w:bookmarkEnd w:id="149"/>
      <w:bookmarkEnd w:id="150"/>
    </w:p>
    <w:p w14:paraId="23CA256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firstLine="480" w:firstLineChars="200"/>
        <w:textAlignment w:val="auto"/>
        <w:rPr>
          <w:sz w:val="24"/>
        </w:rPr>
      </w:pPr>
      <w:r>
        <w:rPr>
          <w:sz w:val="24"/>
        </w:rPr>
        <w:t>为了更加直观地评估模型的分割效果，本文对部分测试样本的分割结果进行可视化分析，如图3-</w:t>
      </w:r>
      <w:r>
        <w:rPr>
          <w:rFonts w:hint="eastAsia"/>
          <w:sz w:val="24"/>
          <w:lang w:val="en-US" w:eastAsia="zh-CN"/>
        </w:rPr>
        <w:t>3</w:t>
      </w:r>
      <w:r>
        <w:rPr>
          <w:sz w:val="24"/>
        </w:rPr>
        <w:t>所示。</w:t>
      </w:r>
    </w:p>
    <w:p w14:paraId="1D09EFD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jc w:val="both"/>
        <w:textAlignment w:val="auto"/>
        <w:rPr>
          <w:sz w:val="24"/>
        </w:rPr>
      </w:pPr>
      <w:r>
        <w:drawing>
          <wp:inline distT="0" distB="0" distL="114300" distR="114300">
            <wp:extent cx="5311775" cy="3622675"/>
            <wp:effectExtent l="0" t="0" r="9525"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0"/>
                    <a:stretch>
                      <a:fillRect/>
                    </a:stretch>
                  </pic:blipFill>
                  <pic:spPr>
                    <a:xfrm>
                      <a:off x="0" y="0"/>
                      <a:ext cx="5311775" cy="3622675"/>
                    </a:xfrm>
                    <a:prstGeom prst="rect">
                      <a:avLst/>
                    </a:prstGeom>
                    <a:noFill/>
                    <a:ln>
                      <a:noFill/>
                    </a:ln>
                  </pic:spPr>
                </pic:pic>
              </a:graphicData>
            </a:graphic>
          </wp:inline>
        </w:drawing>
      </w:r>
    </w:p>
    <w:p w14:paraId="21428B2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jc w:val="center"/>
        <w:textAlignment w:val="auto"/>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图3-</w:t>
      </w:r>
      <w:r>
        <w:rPr>
          <w:rFonts w:hint="default" w:ascii="Times New Roman" w:hAnsi="Times New Roman" w:eastAsia="黑体" w:cs="Times New Roman"/>
          <w:sz w:val="21"/>
          <w:szCs w:val="21"/>
          <w:lang w:val="en-US" w:eastAsia="zh-CN"/>
        </w:rPr>
        <w:t>3</w:t>
      </w:r>
      <w:r>
        <w:rPr>
          <w:rFonts w:hint="default" w:ascii="Times New Roman" w:hAnsi="Times New Roman" w:eastAsia="黑体" w:cs="Times New Roman"/>
          <w:sz w:val="21"/>
          <w:szCs w:val="21"/>
        </w:rPr>
        <w:t xml:space="preserve"> Mask2Former分割效果</w:t>
      </w:r>
    </w:p>
    <w:p w14:paraId="10E2448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firstLine="480" w:firstLineChars="200"/>
        <w:textAlignment w:val="auto"/>
        <w:rPr>
          <w:sz w:val="24"/>
        </w:rPr>
      </w:pPr>
      <w:r>
        <w:rPr>
          <w:sz w:val="24"/>
        </w:rPr>
        <w:t>从可视化结果可以看出，本文方法能够准确识别病灶区域，并在大多数情况下实现较为精确的边界分割。对于边界清晰的病灶，模型预测结果与真实标注高度一致。在边界模糊或形态复杂的情况下，本文方法仍能够较好地捕捉病灶区域，相比对比方法具有更强的细节表达能力。然而，在部分极端情况下（如低对比度或噪声较大的图像），模型仍存在一定误差，主要表现为边界偏移或局部漏检。这表明模型在复杂场景下仍有进一步优化空间。</w:t>
      </w:r>
    </w:p>
    <w:p w14:paraId="536B6FDE">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firstLine="420"/>
        <w:textAlignment w:val="auto"/>
        <w:rPr>
          <w:sz w:val="24"/>
        </w:rPr>
      </w:pPr>
      <w:r>
        <w:rPr>
          <w:sz w:val="24"/>
        </w:rPr>
        <w:t>总体而言，结合定量指标与可视化分析结果，</w:t>
      </w:r>
      <w:r>
        <w:rPr>
          <w:rFonts w:hint="eastAsia"/>
          <w:sz w:val="24"/>
        </w:rPr>
        <w:t>表明</w:t>
      </w:r>
      <w:r>
        <w:rPr>
          <w:sz w:val="24"/>
        </w:rPr>
        <w:t>本方法在皮肤病分割任务中具有良好的性能与应用潜力。</w:t>
      </w:r>
    </w:p>
    <w:p w14:paraId="6E98FFB6">
      <w:pPr>
        <w:keepNext w:val="0"/>
        <w:keepLines w:val="0"/>
        <w:pageBreakBefore w:val="0"/>
        <w:widowControl w:val="0"/>
        <w:numPr>
          <w:ilvl w:val="1"/>
          <w:numId w:val="0"/>
        </w:numPr>
        <w:kinsoku/>
        <w:wordWrap/>
        <w:overflowPunct/>
        <w:topLinePunct w:val="0"/>
        <w:autoSpaceDE/>
        <w:autoSpaceDN/>
        <w:bidi w:val="0"/>
        <w:adjustRightInd/>
        <w:snapToGrid/>
        <w:spacing w:line="360" w:lineRule="auto"/>
        <w:textAlignment w:val="auto"/>
        <w:rPr>
          <w:sz w:val="24"/>
        </w:rPr>
      </w:pPr>
    </w:p>
    <w:p w14:paraId="758BE48B">
      <w:pPr>
        <w:keepNext w:val="0"/>
        <w:keepLines w:val="0"/>
        <w:pageBreakBefore w:val="0"/>
        <w:widowControl w:val="0"/>
        <w:numPr>
          <w:ilvl w:val="1"/>
          <w:numId w:val="0"/>
        </w:numPr>
        <w:kinsoku/>
        <w:wordWrap/>
        <w:overflowPunct/>
        <w:topLinePunct w:val="0"/>
        <w:autoSpaceDE/>
        <w:autoSpaceDN/>
        <w:bidi w:val="0"/>
        <w:adjustRightInd/>
        <w:snapToGrid/>
        <w:spacing w:line="360" w:lineRule="auto"/>
        <w:textAlignment w:val="auto"/>
        <w:rPr>
          <w:sz w:val="24"/>
        </w:rPr>
      </w:pPr>
    </w:p>
    <w:p w14:paraId="44504760">
      <w:pPr>
        <w:keepNext w:val="0"/>
        <w:keepLines w:val="0"/>
        <w:pageBreakBefore w:val="0"/>
        <w:widowControl w:val="0"/>
        <w:numPr>
          <w:ilvl w:val="1"/>
          <w:numId w:val="0"/>
        </w:numPr>
        <w:kinsoku/>
        <w:wordWrap/>
        <w:overflowPunct/>
        <w:topLinePunct w:val="0"/>
        <w:autoSpaceDE/>
        <w:autoSpaceDN/>
        <w:bidi w:val="0"/>
        <w:adjustRightInd/>
        <w:snapToGrid/>
        <w:spacing w:line="360" w:lineRule="auto"/>
        <w:textAlignment w:val="auto"/>
        <w:rPr>
          <w:sz w:val="24"/>
        </w:rPr>
      </w:pPr>
    </w:p>
    <w:p w14:paraId="3F807EC5">
      <w:pPr>
        <w:keepNext w:val="0"/>
        <w:keepLines w:val="0"/>
        <w:pageBreakBefore w:val="0"/>
        <w:widowControl w:val="0"/>
        <w:numPr>
          <w:ilvl w:val="1"/>
          <w:numId w:val="0"/>
        </w:numPr>
        <w:kinsoku/>
        <w:wordWrap/>
        <w:overflowPunct/>
        <w:topLinePunct w:val="0"/>
        <w:autoSpaceDE/>
        <w:autoSpaceDN/>
        <w:bidi w:val="0"/>
        <w:adjustRightInd/>
        <w:snapToGrid/>
        <w:spacing w:line="360" w:lineRule="auto"/>
        <w:textAlignment w:val="auto"/>
        <w:rPr>
          <w:sz w:val="24"/>
        </w:rPr>
      </w:pPr>
    </w:p>
    <w:p w14:paraId="02F86329">
      <w:pPr>
        <w:keepNext w:val="0"/>
        <w:keepLines w:val="0"/>
        <w:pageBreakBefore w:val="0"/>
        <w:widowControl w:val="0"/>
        <w:numPr>
          <w:ilvl w:val="1"/>
          <w:numId w:val="0"/>
        </w:numPr>
        <w:kinsoku/>
        <w:wordWrap/>
        <w:overflowPunct/>
        <w:topLinePunct w:val="0"/>
        <w:autoSpaceDE/>
        <w:autoSpaceDN/>
        <w:bidi w:val="0"/>
        <w:adjustRightInd/>
        <w:snapToGrid/>
        <w:spacing w:line="360" w:lineRule="auto"/>
        <w:textAlignment w:val="auto"/>
        <w:rPr>
          <w:sz w:val="24"/>
        </w:rPr>
      </w:pPr>
    </w:p>
    <w:p w14:paraId="628AC9A9">
      <w:pPr>
        <w:keepNext w:val="0"/>
        <w:keepLines w:val="0"/>
        <w:pageBreakBefore w:val="0"/>
        <w:widowControl w:val="0"/>
        <w:numPr>
          <w:ilvl w:val="1"/>
          <w:numId w:val="0"/>
        </w:numPr>
        <w:kinsoku/>
        <w:wordWrap/>
        <w:overflowPunct/>
        <w:topLinePunct w:val="0"/>
        <w:autoSpaceDE/>
        <w:autoSpaceDN/>
        <w:bidi w:val="0"/>
        <w:adjustRightInd/>
        <w:snapToGrid/>
        <w:spacing w:line="360" w:lineRule="auto"/>
        <w:textAlignment w:val="auto"/>
        <w:rPr>
          <w:sz w:val="24"/>
        </w:rPr>
      </w:pPr>
    </w:p>
    <w:p w14:paraId="74BA046A">
      <w:pPr>
        <w:keepNext w:val="0"/>
        <w:keepLines w:val="0"/>
        <w:pageBreakBefore w:val="0"/>
        <w:widowControl w:val="0"/>
        <w:numPr>
          <w:ilvl w:val="1"/>
          <w:numId w:val="0"/>
        </w:numPr>
        <w:kinsoku/>
        <w:wordWrap/>
        <w:overflowPunct/>
        <w:topLinePunct w:val="0"/>
        <w:autoSpaceDE/>
        <w:autoSpaceDN/>
        <w:bidi w:val="0"/>
        <w:adjustRightInd/>
        <w:snapToGrid/>
        <w:spacing w:line="360" w:lineRule="auto"/>
        <w:textAlignment w:val="auto"/>
        <w:rPr>
          <w:sz w:val="24"/>
        </w:rPr>
      </w:pPr>
    </w:p>
    <w:p w14:paraId="4A7CADC3">
      <w:pPr>
        <w:keepNext w:val="0"/>
        <w:keepLines w:val="0"/>
        <w:pageBreakBefore w:val="0"/>
        <w:widowControl w:val="0"/>
        <w:numPr>
          <w:ilvl w:val="1"/>
          <w:numId w:val="0"/>
        </w:numPr>
        <w:kinsoku/>
        <w:wordWrap/>
        <w:overflowPunct/>
        <w:topLinePunct w:val="0"/>
        <w:autoSpaceDE/>
        <w:autoSpaceDN/>
        <w:bidi w:val="0"/>
        <w:adjustRightInd/>
        <w:snapToGrid/>
        <w:spacing w:line="360" w:lineRule="auto"/>
        <w:textAlignment w:val="auto"/>
        <w:rPr>
          <w:sz w:val="24"/>
        </w:rPr>
      </w:pPr>
    </w:p>
    <w:p w14:paraId="5BAF7169">
      <w:pPr>
        <w:keepNext w:val="0"/>
        <w:keepLines w:val="0"/>
        <w:pageBreakBefore w:val="0"/>
        <w:widowControl w:val="0"/>
        <w:numPr>
          <w:ilvl w:val="0"/>
          <w:numId w:val="0"/>
        </w:numPr>
        <w:kinsoku/>
        <w:wordWrap/>
        <w:overflowPunct/>
        <w:topLinePunct w:val="0"/>
        <w:autoSpaceDE/>
        <w:autoSpaceDN/>
        <w:bidi w:val="0"/>
        <w:adjustRightInd/>
        <w:snapToGrid/>
        <w:spacing w:before="160" w:after="100" w:line="360" w:lineRule="auto"/>
        <w:ind w:left="0" w:leftChars="0"/>
        <w:jc w:val="center"/>
        <w:textAlignment w:val="auto"/>
        <w:outlineLvl w:val="0"/>
        <w:rPr>
          <w:rFonts w:eastAsia="黑体"/>
          <w:b/>
          <w:bCs/>
          <w:sz w:val="32"/>
          <w:szCs w:val="32"/>
        </w:rPr>
      </w:pPr>
      <w:bookmarkStart w:id="151" w:name="_Toc32295"/>
      <w:bookmarkStart w:id="152" w:name="_Toc20258"/>
      <w:bookmarkStart w:id="153" w:name="_Toc21747"/>
      <w:bookmarkStart w:id="154" w:name="_Toc17677"/>
      <w:bookmarkStart w:id="155" w:name="_Toc11020"/>
      <w:r>
        <w:rPr>
          <w:rFonts w:hint="eastAsia" w:eastAsia="黑体"/>
          <w:b/>
          <w:bCs/>
          <w:sz w:val="32"/>
          <w:szCs w:val="32"/>
          <w:lang w:val="en-US" w:eastAsia="zh-CN"/>
        </w:rPr>
        <w:t xml:space="preserve">4 </w:t>
      </w:r>
      <w:r>
        <w:rPr>
          <w:rFonts w:eastAsia="黑体"/>
          <w:b/>
          <w:bCs/>
          <w:sz w:val="32"/>
          <w:szCs w:val="32"/>
        </w:rPr>
        <w:t>结论与展望</w:t>
      </w:r>
      <w:bookmarkEnd w:id="151"/>
      <w:bookmarkEnd w:id="152"/>
      <w:bookmarkEnd w:id="153"/>
      <w:bookmarkEnd w:id="154"/>
      <w:bookmarkEnd w:id="155"/>
    </w:p>
    <w:p w14:paraId="749EBA35">
      <w:pPr>
        <w:keepNext w:val="0"/>
        <w:keepLines w:val="0"/>
        <w:pageBreakBefore w:val="0"/>
        <w:widowControl w:val="0"/>
        <w:kinsoku/>
        <w:wordWrap/>
        <w:overflowPunct/>
        <w:topLinePunct w:val="0"/>
        <w:autoSpaceDE/>
        <w:autoSpaceDN/>
        <w:bidi w:val="0"/>
        <w:adjustRightInd/>
        <w:snapToGrid/>
        <w:spacing w:before="100" w:after="100" w:line="360" w:lineRule="auto"/>
        <w:ind w:left="0"/>
        <w:textAlignment w:val="auto"/>
        <w:outlineLvl w:val="1"/>
        <w:rPr>
          <w:rFonts w:hint="default" w:ascii="Times New Roman" w:hAnsi="Times New Roman" w:eastAsia="黑体" w:cs="Times New Roman"/>
          <w:b/>
          <w:bCs/>
          <w:sz w:val="28"/>
          <w:szCs w:val="28"/>
        </w:rPr>
      </w:pPr>
      <w:bookmarkStart w:id="156" w:name="_Toc5946"/>
      <w:bookmarkStart w:id="157" w:name="_Toc24856"/>
      <w:bookmarkStart w:id="158" w:name="_Toc12942"/>
      <w:bookmarkStart w:id="159" w:name="_Toc4649"/>
      <w:bookmarkStart w:id="160" w:name="_Toc264"/>
      <w:r>
        <w:rPr>
          <w:rFonts w:hint="default" w:ascii="Times New Roman" w:hAnsi="Times New Roman" w:eastAsia="黑体" w:cs="Times New Roman"/>
          <w:b/>
          <w:bCs/>
          <w:sz w:val="28"/>
          <w:szCs w:val="28"/>
        </w:rPr>
        <w:t>4.1 结论</w:t>
      </w:r>
      <w:bookmarkEnd w:id="156"/>
      <w:bookmarkEnd w:id="157"/>
      <w:bookmarkEnd w:id="158"/>
      <w:bookmarkEnd w:id="159"/>
      <w:bookmarkEnd w:id="160"/>
    </w:p>
    <w:p w14:paraId="13FECAD7">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sz w:val="24"/>
        </w:rPr>
      </w:pPr>
      <w:r>
        <w:rPr>
          <w:sz w:val="24"/>
        </w:rPr>
        <w:t>本研究围绕皮肤病图像分割任务中标注数据不足以及病灶区域边界复杂的问题，提出了一种融合自监督表征学习与Transformer分割框架的精细化分割方法，并进行了系统的实验验证与分析。主要研究结论如下：</w:t>
      </w:r>
    </w:p>
    <w:p w14:paraId="30B86962">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sz w:val="24"/>
          <w:lang w:val="en-US" w:eastAsia="zh-CN"/>
        </w:rPr>
      </w:pPr>
      <w:r>
        <w:rPr>
          <w:sz w:val="24"/>
        </w:rPr>
        <w:t>（1）本文引入自监督学习方法对视觉编码器进行预训练，在大量未标注皮肤镜图像上学习通用特征表示。</w:t>
      </w:r>
      <w:r>
        <w:rPr>
          <w:rFonts w:hint="eastAsia"/>
          <w:sz w:val="24"/>
        </w:rPr>
        <w:t>通过在大规模未标注皮肤镜图像上进行基于自蒸馏机制的预训练，DINOv3 底座能够学习具有强领域判别性的视觉表征。消融实验表明，将标准 ImageNet 监督预训练的 ViT-L/16 替换为 DINOv3 自监督预训练模型后，mIoU 从 81.69% 提升至 84.22%，提升幅度达 2.53 个百分点，验证了领域自监督预训练在皮肤镜图像分割任务中的有效性</w:t>
      </w:r>
      <w:r>
        <w:rPr>
          <w:rFonts w:hint="eastAsia"/>
          <w:sz w:val="24"/>
          <w:lang w:eastAsia="zh-CN"/>
        </w:rPr>
        <w:t>。</w:t>
      </w:r>
    </w:p>
    <w:p w14:paraId="29953B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rPr>
      </w:pPr>
      <w:r>
        <w:rPr>
          <w:sz w:val="24"/>
        </w:rPr>
        <w:t>（2）</w:t>
      </w:r>
      <w:r>
        <w:rPr>
          <w:rFonts w:hint="eastAsia"/>
          <w:sz w:val="24"/>
          <w:lang w:val="en-US" w:eastAsia="zh-CN"/>
        </w:rPr>
        <w:t xml:space="preserve"> </w:t>
      </w:r>
      <w:r>
        <w:rPr>
          <w:rFonts w:hint="eastAsia"/>
          <w:sz w:val="24"/>
        </w:rPr>
        <w:t>DCR 通过空间先验模块（SPM）与可变形注意力交互机制，将浅层 CNN 提取的多尺度空间特征与 ViT 的深层语义特征进行跨模态融合。消融实验表明，在 DINOv3 + M2F 的基础上引入 DCR 后，mIoU 进一步提升 1.00 个百分点至 85.70%，Dice 系数达到 92.20%，同时边界敏感指标（Boundary IoU 和 HD95）同样获得显著改善，验证了 DCR 在增强病灶轮廓感知精度方面的关键作用。</w:t>
      </w:r>
    </w:p>
    <w:p w14:paraId="65D313CF">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sz w:val="24"/>
        </w:rPr>
      </w:pPr>
      <w:r>
        <w:rPr>
          <w:sz w:val="24"/>
        </w:rPr>
        <w:t>（3）</w:t>
      </w:r>
      <w:r>
        <w:rPr>
          <w:rFonts w:hint="eastAsia"/>
          <w:sz w:val="24"/>
        </w:rPr>
        <w:t>相比线性解码器，基于 Transformer 的 M2F 解码器通过查询机制与多尺度特征交互，对复杂病灶边界与多样化形态表现出更强的建模能力。查询数量敏感性分析表明，在二分类分割场景下，5 个查询即可达到最优性能，过多的查询反而因匈牙利匹配中</w:t>
      </w:r>
      <w:r>
        <w:rPr>
          <w:rFonts w:hint="eastAsia"/>
          <w:sz w:val="24"/>
          <w:lang w:eastAsia="zh-CN"/>
        </w:rPr>
        <w:t>“</w:t>
      </w:r>
      <w:r>
        <w:rPr>
          <w:rFonts w:hint="eastAsia"/>
          <w:sz w:val="24"/>
        </w:rPr>
        <w:t>无对象</w:t>
      </w:r>
      <w:r>
        <w:rPr>
          <w:rFonts w:hint="eastAsia"/>
          <w:sz w:val="24"/>
          <w:lang w:eastAsia="zh-CN"/>
        </w:rPr>
        <w:t>”</w:t>
      </w:r>
      <w:r>
        <w:rPr>
          <w:rFonts w:hint="eastAsia"/>
          <w:sz w:val="24"/>
        </w:rPr>
        <w:t>类别的稀释效应导致性能下降。</w:t>
      </w:r>
    </w:p>
    <w:p w14:paraId="1E3AB63E">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sz w:val="24"/>
        </w:rPr>
      </w:pPr>
      <w:r>
        <w:rPr>
          <w:sz w:val="24"/>
        </w:rPr>
        <w:t>（4）</w:t>
      </w:r>
      <w:r>
        <w:rPr>
          <w:rFonts w:hint="eastAsia"/>
          <w:sz w:val="24"/>
        </w:rPr>
        <w:t>消融实验系统量化了各模块的独立贡献：DINOv3 自监督预训练贡献 +2.53 mIoU，DCR 适配器贡献 +1.00 mIoU，M2F 解码器贡献 +0.48 mIoU，三项累计提升达 4.01 mIoU、2.46 Dice。各模块并非孤立有效，而是互补协同——自监督预训练提供强语义底座，DCR 注入多尺度空间细节，M2F 在此基础上实现精细化掩码预测。</w:t>
      </w:r>
    </w:p>
    <w:p w14:paraId="360835F1">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sz w:val="24"/>
        </w:rPr>
      </w:pPr>
      <w:bookmarkStart w:id="161" w:name="_Toc18404"/>
      <w:bookmarkStart w:id="162" w:name="_Toc3636"/>
      <w:bookmarkStart w:id="163" w:name="_Toc18974"/>
      <w:bookmarkStart w:id="164" w:name="_Toc6495"/>
      <w:r>
        <w:rPr>
          <w:rFonts w:hint="eastAsia"/>
          <w:sz w:val="24"/>
        </w:rPr>
        <w:t>综上所述，本文提出的方法在 HAM10000 数据集上取得了 92.20% 的 Dice 系数和 85.70% 的 mIoU，在多项指标上均优于对比方法，为自监督学习在医学图像精细化分割中的应用提供了一种有效思路。</w:t>
      </w:r>
    </w:p>
    <w:p w14:paraId="165CE4D8">
      <w:pPr>
        <w:keepNext w:val="0"/>
        <w:keepLines w:val="0"/>
        <w:pageBreakBefore w:val="0"/>
        <w:widowControl w:val="0"/>
        <w:kinsoku/>
        <w:wordWrap/>
        <w:overflowPunct/>
        <w:topLinePunct w:val="0"/>
        <w:autoSpaceDE/>
        <w:autoSpaceDN/>
        <w:bidi w:val="0"/>
        <w:adjustRightInd/>
        <w:snapToGrid/>
        <w:spacing w:before="100" w:after="100" w:line="360" w:lineRule="auto"/>
        <w:textAlignment w:val="auto"/>
        <w:outlineLvl w:val="1"/>
        <w:rPr>
          <w:rFonts w:hint="default" w:ascii="Times New Roman" w:hAnsi="Times New Roman" w:eastAsia="黑体" w:cs="Times New Roman"/>
          <w:b/>
          <w:bCs/>
          <w:sz w:val="28"/>
          <w:szCs w:val="28"/>
        </w:rPr>
      </w:pPr>
      <w:bookmarkStart w:id="165" w:name="_Toc12990"/>
      <w:r>
        <w:rPr>
          <w:rFonts w:hint="default" w:ascii="Times New Roman" w:hAnsi="Times New Roman" w:eastAsia="黑体" w:cs="Times New Roman"/>
          <w:b/>
          <w:bCs/>
          <w:sz w:val="28"/>
          <w:szCs w:val="28"/>
        </w:rPr>
        <w:t>4.2 展望</w:t>
      </w:r>
      <w:bookmarkEnd w:id="161"/>
      <w:bookmarkEnd w:id="162"/>
      <w:bookmarkEnd w:id="163"/>
      <w:bookmarkEnd w:id="164"/>
      <w:bookmarkEnd w:id="165"/>
    </w:p>
    <w:p w14:paraId="04C3F3E3">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sz w:val="24"/>
        </w:rPr>
      </w:pPr>
      <w:r>
        <w:rPr>
          <w:sz w:val="24"/>
        </w:rPr>
        <w:t>尽管本文在基于自监督底座的皮肤病精细化分割任务中取得了一定进展，但受限于实验条件与研究深度，仍存在以下方面有待进一步改进与完善：</w:t>
      </w:r>
    </w:p>
    <w:p w14:paraId="6C6FEE87">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本文构建的 Mask2Former 架构虽具备</w:t>
      </w:r>
      <w:r>
        <w:rPr>
          <w:rFonts w:hint="eastAsia"/>
          <w:sz w:val="24"/>
        </w:rPr>
        <w:t>较好</w:t>
      </w:r>
      <w:r>
        <w:rPr>
          <w:sz w:val="24"/>
        </w:rPr>
        <w:t>的分割精度，但其基于 Transformer 的计算复杂度在移动医疗终端或实时诊断场景下仍面临算力挑战。未来拟通过知识蒸馏（Knowledge Distillation）、模型剪枝及算子融合等轻量化技术，在尽可能保持分割精度的前提下压缩参数规模，提升模型在实际临床嵌入式设备中的运行效率。</w:t>
      </w:r>
    </w:p>
    <w:p w14:paraId="1D1EB18C">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此外，针对医学影像领域像素级标注极度匮乏的痛点，未来可进一步挖掘自监督</w:t>
      </w:r>
      <w:r>
        <w:rPr>
          <w:rFonts w:hint="eastAsia"/>
          <w:sz w:val="24"/>
        </w:rPr>
        <w:t>预训练模型</w:t>
      </w:r>
      <w:r>
        <w:rPr>
          <w:sz w:val="24"/>
        </w:rPr>
        <w:t>在弱监督学习（如仅使用类别标签或涂鸦标注）及少样本场景下的潜力。通过研究原型学习（Prototype Learning）或提示学习（Prompt Learning），探索在极少量专家标注下实现高性能精细化分割的可能路径。</w:t>
      </w:r>
    </w:p>
    <w:p w14:paraId="3D8E0F1E">
      <w:pPr>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sz w:val="24"/>
        </w:rPr>
      </w:pPr>
      <w:r>
        <w:rPr>
          <w:sz w:val="24"/>
        </w:rPr>
        <w:t>最后，医学 AI 的临床落地不仅取决于精度，更取决于其决策的可透明度。未来拟结合可视化技术（如注意力图解析）与因果推理方法，对模型定位病灶及捕捉边缘的逻辑进行深度剖析，使算法的预测过程符合皮肤病学逻辑，从而增强临床医生的信任度并有效辅助医患决策。</w:t>
      </w:r>
    </w:p>
    <w:p w14:paraId="7CFC3352">
      <w:pPr>
        <w:pStyle w:val="8"/>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黑体" w:cs="Times New Roman"/>
          <w:sz w:val="28"/>
          <w:szCs w:val="28"/>
        </w:rPr>
      </w:pPr>
    </w:p>
    <w:p w14:paraId="7249CAEB">
      <w:pPr>
        <w:pStyle w:val="8"/>
        <w:spacing w:line="440" w:lineRule="atLeast"/>
        <w:rPr>
          <w:rFonts w:ascii="Times New Roman" w:hAnsi="Times New Roman" w:eastAsia="黑体" w:cs="Times New Roman"/>
          <w:sz w:val="28"/>
          <w:szCs w:val="28"/>
        </w:rPr>
      </w:pPr>
    </w:p>
    <w:p w14:paraId="13FA9C93">
      <w:pPr>
        <w:pStyle w:val="8"/>
        <w:spacing w:line="440" w:lineRule="atLeast"/>
        <w:rPr>
          <w:rFonts w:ascii="Times New Roman" w:hAnsi="Times New Roman" w:eastAsia="黑体" w:cs="Times New Roman"/>
          <w:sz w:val="28"/>
          <w:szCs w:val="28"/>
        </w:rPr>
      </w:pPr>
    </w:p>
    <w:p w14:paraId="105568FB">
      <w:pPr>
        <w:pStyle w:val="8"/>
        <w:spacing w:line="440" w:lineRule="atLeast"/>
        <w:rPr>
          <w:rFonts w:ascii="Times New Roman" w:hAnsi="Times New Roman" w:eastAsia="黑体" w:cs="Times New Roman"/>
          <w:sz w:val="28"/>
          <w:szCs w:val="28"/>
        </w:rPr>
      </w:pPr>
    </w:p>
    <w:p w14:paraId="37A913CA">
      <w:pPr>
        <w:pStyle w:val="8"/>
        <w:spacing w:line="440" w:lineRule="atLeast"/>
        <w:rPr>
          <w:rFonts w:ascii="Times New Roman" w:hAnsi="Times New Roman" w:eastAsia="黑体" w:cs="Times New Roman"/>
          <w:sz w:val="28"/>
          <w:szCs w:val="28"/>
        </w:rPr>
      </w:pPr>
    </w:p>
    <w:p w14:paraId="6C690578">
      <w:pPr>
        <w:pStyle w:val="8"/>
        <w:spacing w:line="440" w:lineRule="atLeast"/>
        <w:rPr>
          <w:rFonts w:ascii="Times New Roman" w:hAnsi="Times New Roman" w:eastAsia="黑体" w:cs="Times New Roman"/>
          <w:sz w:val="28"/>
          <w:szCs w:val="28"/>
        </w:rPr>
      </w:pPr>
    </w:p>
    <w:p w14:paraId="4381BFA4">
      <w:pPr>
        <w:pStyle w:val="8"/>
        <w:spacing w:line="440" w:lineRule="atLeast"/>
        <w:rPr>
          <w:rFonts w:ascii="Times New Roman" w:hAnsi="Times New Roman" w:eastAsia="黑体" w:cs="Times New Roman"/>
          <w:sz w:val="28"/>
          <w:szCs w:val="28"/>
        </w:rPr>
      </w:pPr>
    </w:p>
    <w:p w14:paraId="63A1D955">
      <w:pPr>
        <w:pStyle w:val="8"/>
        <w:spacing w:line="440" w:lineRule="atLeast"/>
        <w:rPr>
          <w:rFonts w:ascii="Times New Roman" w:hAnsi="Times New Roman" w:eastAsia="黑体" w:cs="Times New Roman"/>
          <w:sz w:val="28"/>
          <w:szCs w:val="28"/>
        </w:rPr>
      </w:pPr>
    </w:p>
    <w:p w14:paraId="247E4206">
      <w:pPr>
        <w:pStyle w:val="8"/>
        <w:spacing w:line="440" w:lineRule="atLeast"/>
        <w:rPr>
          <w:rFonts w:ascii="Times New Roman" w:hAnsi="Times New Roman" w:eastAsia="黑体" w:cs="Times New Roman"/>
          <w:sz w:val="28"/>
          <w:szCs w:val="28"/>
        </w:rPr>
      </w:pPr>
    </w:p>
    <w:p w14:paraId="531B7B27">
      <w:pPr>
        <w:pStyle w:val="8"/>
        <w:spacing w:line="440" w:lineRule="atLeast"/>
        <w:rPr>
          <w:rFonts w:ascii="Times New Roman" w:hAnsi="Times New Roman" w:eastAsia="黑体" w:cs="Times New Roman"/>
          <w:sz w:val="28"/>
          <w:szCs w:val="28"/>
        </w:rPr>
      </w:pPr>
    </w:p>
    <w:p w14:paraId="3CE7BBFE">
      <w:pPr>
        <w:pStyle w:val="8"/>
        <w:spacing w:line="440" w:lineRule="atLeast"/>
        <w:jc w:val="center"/>
        <w:outlineLvl w:val="0"/>
        <w:rPr>
          <w:rFonts w:ascii="Times New Roman" w:hAnsi="Times New Roman" w:eastAsia="黑体" w:cs="Times New Roman"/>
          <w:b/>
          <w:bCs/>
          <w:sz w:val="36"/>
          <w:szCs w:val="36"/>
        </w:rPr>
      </w:pPr>
      <w:bookmarkStart w:id="166" w:name="_Toc509"/>
      <w:bookmarkStart w:id="167" w:name="_Toc25366"/>
      <w:bookmarkStart w:id="168" w:name="_Toc332"/>
      <w:bookmarkStart w:id="169" w:name="_Toc30690"/>
      <w:bookmarkStart w:id="170" w:name="_Toc14226"/>
      <w:r>
        <w:rPr>
          <w:rFonts w:ascii="Times New Roman" w:hAnsi="Times New Roman" w:eastAsia="黑体" w:cs="Times New Roman"/>
          <w:b/>
          <w:bCs/>
          <w:sz w:val="36"/>
          <w:szCs w:val="36"/>
        </w:rPr>
        <w:t>参考文献</w:t>
      </w:r>
      <w:bookmarkEnd w:id="166"/>
      <w:bookmarkEnd w:id="167"/>
      <w:bookmarkEnd w:id="168"/>
      <w:bookmarkEnd w:id="169"/>
      <w:bookmarkEnd w:id="170"/>
    </w:p>
    <w:p w14:paraId="7D04EFC6">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[1] ZHOU Z, SIDDIQUEE M M R, TAJBAKHSH N, et al. UNet++: A nested U-Net architecture for medical image segmentation[J]. IEEE Transactions on Medical Imaging, 2020, 39(6): 1856-1867.</w:t>
      </w:r>
    </w:p>
    <w:p w14:paraId="5FB11BBE">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[2] CHEN J, LU Y, YU Q, et al. TransUNet: Transformers make strong encoders for medical image segmentation[J]. Medical Image Analysis, 2024, 91: 103080.</w:t>
      </w:r>
    </w:p>
    <w:p w14:paraId="53A66EB3">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[3] CAO H, WANG Y, CHEN J, et al. Swin-Unet: Unet-like pure transformer for medical image segmentation[C]// European Conference on Computer Vision Workshops. Cham: Springer, 2022: 205-218.</w:t>
      </w:r>
    </w:p>
    <w:p w14:paraId="223E4F06">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[4] XIE E, WANG W, YU Z, et al. SegFormer: Simple and efficient design for semantic segmentation with transformers[J]. Advances in Neural Information Processing Systems, 2021, 34: 12077-12090.</w:t>
      </w:r>
    </w:p>
    <w:p w14:paraId="50F973BB">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[5] CHEN T, KORNBLITH S, NOROUZI M, et al. A simple framework for contrastive learning of visual representations[C]// Proceedings of the 37th International Conference on Machine Learning. PMLR, 2020: 1597-1607.</w:t>
      </w:r>
    </w:p>
    <w:p w14:paraId="7D143938">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[6] HE K, FAN H, WU Y, et al. Momentum contrast for unsupervised visual representation learning[C]// Proceedings of the IEEE/CVF Conference on Computer Vision and Pattern Recognition. Seattle: IEEE, 2020: 9729-9738.</w:t>
      </w:r>
    </w:p>
    <w:p w14:paraId="12A84F8D">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[7] CARON M, TOUVRON H, MISRA I, et al. Emerging properties in self-supervised vision transformers[C]// Proceedings of the IEEE/CVF International Conference on Computer Vision. Montreal: IEEE, 2021: 9650-9660.</w:t>
      </w:r>
    </w:p>
    <w:p w14:paraId="299D11A8">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[8] CHEN F, WANG J, MAGNIER B, et al. G2LL: Global-to-local self-supervised learning for label-efficient transformer-based skin lesion segmentation in dermoscopy images[C]// 2023 IEEE 20th International Symposium on Biomedical Imaging (ISBI). IEEE, 2023: 1-5.</w:t>
      </w:r>
    </w:p>
    <w:p w14:paraId="7CA131B4">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[9] ZHANG S, XU Y, USUYAMA N, et al. BiomedCLIP: A multimodal biomedical foundation model pretrained from fifteen million scientific image-text pairs[J]. arXiv preprint arXiv:2303.00915, 2023.</w:t>
      </w:r>
    </w:p>
    <w:p w14:paraId="7C41DB07">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[10] TU T, AZIZI S, DORR A, et al. Towards generalist biomedical AI: Med-Gemini[R]. Google Research, 2024.</w:t>
      </w:r>
    </w:p>
    <w:p w14:paraId="6FFE180E">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[11] YAN S, YU Z, PRIMIERO C, et al. A multimodal vision foundation model for clinical dermatology[J]. Nature Medicine, 2025.</w:t>
      </w:r>
    </w:p>
    <w:p w14:paraId="0EDE8C22">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[12] CHENG B, MISRA I, SCHWING A G, et al. Masked-attention mask transformer for universal image segmentation[C]// Proceedings of the IEEE/CVF Conference on Computer Vision and Pattern Recognition. New Orleans: IEEE, 2022: 1290-1299.</w:t>
      </w:r>
    </w:p>
    <w:p w14:paraId="64DC63C8">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[13] JING L, TIAN Y. Self-supervised visual feature learning with deep neural networks: A survey[J]. IEEE Transactions on Pattern Analysis and Machine Intelligence, 2020, 43(11): 4037-4058.</w:t>
      </w:r>
    </w:p>
    <w:p w14:paraId="24D168EB">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[14] BENGIO Y, COURVILLE A, VINCENT P. Representation learning: A review and new perspectives[J]. IEEE Transactions on Pattern Analysis and Machine Intelligence, 2013, 35(8): 1798-1828.</w:t>
      </w:r>
    </w:p>
    <w:p w14:paraId="10E36A84">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[15] LE-KHAC P H, HEALY G, SMEATON A F. Contrastive representation learning: A framework and review[J]. IEEE Access, 2020, 8: 193907-193934.</w:t>
      </w:r>
    </w:p>
    <w:p w14:paraId="17ED6E82">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[16] HE K, CHEN X, XIE S, et al. Masked autoencoders are scalable vision learners[C]// Proceedings of the IEEE/CVF Conference on Computer Vision and Pattern Recognition. New Orleans: IEEE, 2022: 16000-16009.</w:t>
      </w:r>
    </w:p>
    <w:p w14:paraId="187B987D">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[17] GRILL J B, STRUB F, ALTCHÉ F, et al. Bootstrap your own latent-a new approach to self-supervised learning[J]. Advances in Neural Information Processing Systems, 2020, 33: 21271-21284.</w:t>
      </w:r>
    </w:p>
    <w:p w14:paraId="6590DE23">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[18] CODELLA N C F, GUTMAN D, CELEBI M E, et al. Skin lesion analysis toward melanoma detection: A challenge at the 2017 international symposium on biomedical imaging (ISBI), hosted by the international skin imaging collaboration (ISIC)[C]// 2018 IEEE 15th International Symposium on Biomedical Imaging (ISBI 2018). Washington, DC: IEEE, 2018: 168-172.</w:t>
      </w:r>
    </w:p>
    <w:p w14:paraId="77C3BA92">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[19] SIMÉONI O, VO H V, SEITZER M, et al. DINOv3: Learning robust visual features without supervision[J]. arXiv preprint arXiv:2508.10104, 2025.</w:t>
      </w:r>
    </w:p>
    <w:p w14:paraId="7092B1E3">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[20] TSCHANDL P, ROSENDAHL C, KITTLER H. The HAM10000 dataset, a large collection of multi-source dermatoscopic images of common pigmented skin lesions[J]. Scientific Data, 2018, 5(1): 1-9.</w:t>
      </w:r>
    </w:p>
    <w:p w14:paraId="12A7C3EE">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[21] CARON M, MISRA I, MAIRAL J, et al. Unsupervised learning of visual features by contrasting cluster assignments[J]. Advances in Neural Information Processing Systems, 2020, 33: 9912-9924.</w:t>
      </w:r>
    </w:p>
    <w:p w14:paraId="76809A8D">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[22] DOSOVITSKIY A, BEYER L, KOLESNIKOV A, et al. An image is worth 16x16 words: Transformers for image recognition at scale[C]// International Conference on Learning Representations. 2021.</w:t>
      </w:r>
    </w:p>
    <w:p w14:paraId="58AC9756">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[23] ZHU X, SU W, LU L, et al. Deformable DETR: Deformable transformers for end-to-end object detection[C]// International Conference on Learning Representations. 2021.</w:t>
      </w:r>
    </w:p>
    <w:p w14:paraId="62082BDF">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[24] CHENG B, GIRSHICK R, DOLLAR P, et al. Boundary IoU: Improving object-centric image segmentation evaluation[C]// Proceedings of the IEEE/CVF Conference on Computer Vision and Pattern Recognition. Nashville: IEEE, 2021: 15334-15342.</w:t>
      </w:r>
    </w:p>
    <w:p w14:paraId="7AFFFD35">
      <w:pPr>
        <w:keepNext w:val="0"/>
        <w:keepLines w:val="0"/>
        <w:pageBreakBefore w:val="0"/>
        <w:widowControl w:val="0"/>
        <w:kinsoku/>
        <w:wordWrap/>
        <w:overflowPunct/>
        <w:topLinePunct w:val="0"/>
        <w:autoSpaceDE/>
        <w:autoSpaceDN/>
        <w:bidi w:val="0"/>
        <w:adjustRightInd/>
        <w:snapToGrid/>
        <w:textAlignment w:val="auto"/>
        <w:rPr>
          <w:rFonts w:hint="default"/>
        </w:rPr>
      </w:pPr>
      <w:r>
        <w:rPr>
          <w:rFonts w:hint="default"/>
        </w:rPr>
        <w:t>[25] TAHA A A, HANBURY A. Metrics for evaluating 3D medical image segmentation: analysis, selection, and tool[J]. BMC Medical Imaging, 2015, 15(1): 1-28.</w:t>
      </w:r>
    </w:p>
    <w:p w14:paraId="1E09E642">
      <w:pPr>
        <w:pStyle w:val="8"/>
        <w:spacing w:line="440" w:lineRule="atLeast"/>
        <w:rPr>
          <w:rFonts w:ascii="Times New Roman" w:hAnsi="Times New Roman" w:cs="Times New Roman"/>
          <w:sz w:val="24"/>
          <w:szCs w:val="24"/>
        </w:rPr>
      </w:pPr>
    </w:p>
    <w:p w14:paraId="1D9C5DFE">
      <w:pPr>
        <w:pStyle w:val="8"/>
        <w:spacing w:line="440" w:lineRule="atLeast"/>
        <w:rPr>
          <w:rFonts w:ascii="Times New Roman" w:hAnsi="Times New Roman" w:cs="Times New Roman"/>
          <w:sz w:val="24"/>
          <w:szCs w:val="24"/>
        </w:rPr>
      </w:pPr>
    </w:p>
    <w:p w14:paraId="6106CF68">
      <w:pPr>
        <w:pStyle w:val="8"/>
        <w:spacing w:line="440" w:lineRule="atLeast"/>
        <w:rPr>
          <w:rFonts w:ascii="Times New Roman" w:hAnsi="Times New Roman" w:cs="Times New Roman"/>
          <w:sz w:val="24"/>
          <w:szCs w:val="24"/>
        </w:rPr>
      </w:pPr>
    </w:p>
    <w:p w14:paraId="3E0581A0">
      <w:pPr>
        <w:pStyle w:val="8"/>
        <w:spacing w:line="440" w:lineRule="atLeast"/>
        <w:rPr>
          <w:rFonts w:ascii="Times New Roman" w:hAnsi="Times New Roman" w:cs="Times New Roman"/>
          <w:sz w:val="24"/>
          <w:szCs w:val="24"/>
        </w:rPr>
      </w:pPr>
    </w:p>
    <w:p w14:paraId="32007B6F">
      <w:pPr>
        <w:pStyle w:val="8"/>
        <w:spacing w:line="440" w:lineRule="atLeast"/>
        <w:rPr>
          <w:rFonts w:ascii="Times New Roman" w:hAnsi="Times New Roman" w:cs="Times New Roman"/>
          <w:sz w:val="24"/>
          <w:szCs w:val="24"/>
        </w:rPr>
      </w:pPr>
    </w:p>
    <w:p w14:paraId="19BF7216">
      <w:pPr>
        <w:pStyle w:val="8"/>
        <w:spacing w:line="440" w:lineRule="atLeast"/>
        <w:rPr>
          <w:rFonts w:ascii="Times New Roman" w:hAnsi="Times New Roman" w:cs="Times New Roman"/>
          <w:sz w:val="24"/>
          <w:szCs w:val="24"/>
        </w:rPr>
      </w:pPr>
    </w:p>
    <w:p w14:paraId="29D5845C">
      <w:pPr>
        <w:pStyle w:val="8"/>
        <w:spacing w:line="440" w:lineRule="atLeast"/>
        <w:rPr>
          <w:rFonts w:ascii="Times New Roman" w:hAnsi="Times New Roman" w:cs="Times New Roman"/>
          <w:sz w:val="24"/>
          <w:szCs w:val="24"/>
        </w:rPr>
      </w:pPr>
    </w:p>
    <w:p w14:paraId="64EF76D2">
      <w:pPr>
        <w:pStyle w:val="8"/>
        <w:spacing w:line="440" w:lineRule="atLeast"/>
        <w:rPr>
          <w:rFonts w:ascii="Times New Roman" w:hAnsi="Times New Roman" w:cs="Times New Roman"/>
          <w:sz w:val="24"/>
          <w:szCs w:val="24"/>
        </w:rPr>
      </w:pPr>
    </w:p>
    <w:p w14:paraId="583ECB2F">
      <w:pPr>
        <w:pStyle w:val="8"/>
        <w:spacing w:line="440" w:lineRule="atLeast"/>
        <w:rPr>
          <w:rFonts w:ascii="Times New Roman" w:hAnsi="Times New Roman" w:cs="Times New Roman"/>
          <w:sz w:val="24"/>
          <w:szCs w:val="24"/>
        </w:rPr>
      </w:pPr>
    </w:p>
    <w:p w14:paraId="1218994B">
      <w:pPr>
        <w:pStyle w:val="8"/>
        <w:spacing w:line="440" w:lineRule="atLeast"/>
        <w:rPr>
          <w:rFonts w:ascii="Times New Roman" w:hAnsi="Times New Roman" w:cs="Times New Roman"/>
          <w:sz w:val="24"/>
          <w:szCs w:val="24"/>
        </w:rPr>
      </w:pPr>
    </w:p>
    <w:p w14:paraId="198FBD0B">
      <w:pPr>
        <w:pStyle w:val="8"/>
        <w:spacing w:line="440" w:lineRule="atLeast"/>
        <w:rPr>
          <w:rFonts w:ascii="Times New Roman" w:hAnsi="Times New Roman" w:cs="Times New Roman"/>
          <w:sz w:val="24"/>
          <w:szCs w:val="24"/>
        </w:rPr>
      </w:pPr>
    </w:p>
    <w:p w14:paraId="18441E1D">
      <w:pPr>
        <w:pStyle w:val="8"/>
        <w:spacing w:line="440" w:lineRule="atLeast"/>
        <w:rPr>
          <w:rFonts w:ascii="Times New Roman" w:hAnsi="Times New Roman" w:cs="Times New Roman"/>
          <w:sz w:val="24"/>
          <w:szCs w:val="24"/>
        </w:rPr>
      </w:pPr>
    </w:p>
    <w:p w14:paraId="6A0CAC75">
      <w:pPr>
        <w:pStyle w:val="8"/>
        <w:spacing w:line="440" w:lineRule="atLeast"/>
        <w:rPr>
          <w:rFonts w:ascii="Times New Roman" w:hAnsi="Times New Roman" w:cs="Times New Roman"/>
          <w:sz w:val="24"/>
          <w:szCs w:val="24"/>
        </w:rPr>
      </w:pPr>
    </w:p>
    <w:p w14:paraId="3ADE2B53">
      <w:pPr>
        <w:pStyle w:val="8"/>
        <w:spacing w:line="440" w:lineRule="atLeast"/>
        <w:rPr>
          <w:rFonts w:ascii="Times New Roman" w:hAnsi="Times New Roman" w:cs="Times New Roman"/>
          <w:sz w:val="24"/>
          <w:szCs w:val="24"/>
        </w:rPr>
      </w:pPr>
    </w:p>
    <w:p w14:paraId="2379FD45">
      <w:pPr>
        <w:keepNext w:val="0"/>
        <w:keepLines w:val="0"/>
        <w:pageBreakBefore w:val="0"/>
        <w:widowControl w:val="0"/>
        <w:kinsoku/>
        <w:wordWrap/>
        <w:overflowPunct/>
        <w:topLinePunct w:val="0"/>
        <w:autoSpaceDE/>
        <w:autoSpaceDN/>
        <w:bidi w:val="0"/>
        <w:adjustRightInd/>
        <w:snapToGrid/>
        <w:spacing w:line="360" w:lineRule="auto"/>
        <w:ind w:left="0" w:leftChars="0"/>
        <w:jc w:val="center"/>
        <w:textAlignment w:val="auto"/>
        <w:outlineLvl w:val="0"/>
        <w:rPr>
          <w:rFonts w:eastAsia="黑体"/>
          <w:sz w:val="36"/>
          <w:szCs w:val="36"/>
        </w:rPr>
      </w:pPr>
      <w:bookmarkStart w:id="171" w:name="_Toc7454"/>
      <w:bookmarkStart w:id="172" w:name="_Toc25469"/>
      <w:bookmarkStart w:id="173" w:name="_Toc18049"/>
      <w:bookmarkStart w:id="174" w:name="_Toc11751"/>
      <w:bookmarkStart w:id="175" w:name="_Toc31841"/>
      <w:r>
        <w:rPr>
          <w:rFonts w:eastAsia="黑体"/>
          <w:b/>
          <w:bCs/>
          <w:sz w:val="36"/>
          <w:szCs w:val="36"/>
        </w:rPr>
        <w:t>致</w:t>
      </w:r>
      <w:r>
        <w:rPr>
          <w:rFonts w:hint="eastAsia" w:eastAsia="黑体"/>
          <w:b/>
          <w:bCs/>
          <w:sz w:val="36"/>
          <w:szCs w:val="36"/>
          <w:lang w:val="en-US" w:eastAsia="zh-CN"/>
        </w:rPr>
        <w:t xml:space="preserve">    </w:t>
      </w:r>
      <w:r>
        <w:rPr>
          <w:rFonts w:eastAsia="黑体"/>
          <w:b/>
          <w:bCs/>
          <w:sz w:val="36"/>
          <w:szCs w:val="36"/>
        </w:rPr>
        <w:t>谢</w:t>
      </w:r>
      <w:bookmarkEnd w:id="171"/>
      <w:bookmarkEnd w:id="172"/>
      <w:bookmarkEnd w:id="173"/>
      <w:bookmarkEnd w:id="174"/>
      <w:bookmarkEnd w:id="175"/>
    </w:p>
    <w:p w14:paraId="7C842993">
      <w:pPr>
        <w:pStyle w:val="8"/>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hint="eastAsia" w:ascii="宋体" w:hAnsi="宋体" w:eastAsia="宋体" w:cs="宋体"/>
          <w:sz w:val="24"/>
          <w:szCs w:val="24"/>
        </w:rPr>
      </w:pPr>
      <w:r>
        <w:rPr>
          <w:rFonts w:hint="eastAsia" w:ascii="宋体" w:hAnsi="宋体" w:eastAsia="宋体" w:cs="宋体"/>
          <w:sz w:val="24"/>
          <w:szCs w:val="24"/>
        </w:rPr>
        <w:t>行文至此，落笔为终。首先要衷心感谢我的导师田广野老师。感谢您在我大学求学路上给予的莫大激励与悉心指引，“优雅地写代码”不仅是您传授给我的技术点拨，更成为我步入科研领域以来最铭记于心的治学信条。</w:t>
      </w:r>
    </w:p>
    <w:p w14:paraId="34ECF660">
      <w:pPr>
        <w:pStyle w:val="8"/>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hint="eastAsia" w:ascii="宋体" w:hAnsi="宋体" w:eastAsia="宋体" w:cs="宋体"/>
          <w:sz w:val="24"/>
          <w:szCs w:val="24"/>
        </w:rPr>
      </w:pPr>
      <w:r>
        <w:rPr>
          <w:rFonts w:hint="eastAsia" w:ascii="宋体" w:hAnsi="宋体" w:eastAsia="宋体" w:cs="宋体"/>
          <w:sz w:val="24"/>
          <w:szCs w:val="24"/>
        </w:rPr>
        <w:t>感谢蒿頔师兄在我完成毕业设计期间给予的金玉良言与恰如其分的帮助，让我在迷茫时找到了方向。</w:t>
      </w:r>
    </w:p>
    <w:p w14:paraId="1CF5C30F">
      <w:pPr>
        <w:pStyle w:val="8"/>
        <w:keepNext w:val="0"/>
        <w:keepLines w:val="0"/>
        <w:pageBreakBefore w:val="0"/>
        <w:widowControl w:val="0"/>
        <w:kinsoku/>
        <w:wordWrap/>
        <w:overflowPunct/>
        <w:topLinePunct w:val="0"/>
        <w:autoSpaceDE/>
        <w:autoSpaceDN/>
        <w:bidi w:val="0"/>
        <w:adjustRightInd/>
        <w:snapToGrid/>
        <w:spacing w:line="360" w:lineRule="auto"/>
        <w:ind w:left="0" w:firstLine="420"/>
        <w:textAlignment w:val="auto"/>
        <w:rPr>
          <w:rFonts w:hint="eastAsia" w:ascii="宋体" w:hAnsi="宋体" w:eastAsia="宋体" w:cs="宋体"/>
          <w:sz w:val="24"/>
          <w:szCs w:val="24"/>
        </w:rPr>
      </w:pPr>
      <w:r>
        <w:rPr>
          <w:rFonts w:hint="eastAsia" w:ascii="宋体" w:hAnsi="宋体" w:eastAsia="宋体" w:cs="宋体"/>
          <w:sz w:val="24"/>
          <w:szCs w:val="24"/>
        </w:rPr>
        <w:t>感谢山东大学为我提供了这片沃土，感谢本科期间所有启发过我的老师和同学们，也感谢那些曾对我充满善意的陌生人。山水有相逢，未来皆可期。</w:t>
      </w:r>
    </w:p>
    <w:p w14:paraId="002DE7AC">
      <w:pPr>
        <w:pStyle w:val="8"/>
        <w:spacing w:line="440" w:lineRule="atLeast"/>
        <w:rPr>
          <w:rFonts w:ascii="Times New Roman" w:hAnsi="Times New Roman" w:cs="Times New Roman"/>
          <w:sz w:val="24"/>
          <w:szCs w:val="24"/>
        </w:rPr>
      </w:pPr>
    </w:p>
    <w:p w14:paraId="57726520">
      <w:pPr>
        <w:pStyle w:val="8"/>
        <w:spacing w:line="440" w:lineRule="atLeast"/>
        <w:rPr>
          <w:rFonts w:ascii="Times New Roman" w:hAnsi="Times New Roman" w:cs="Times New Roman"/>
          <w:sz w:val="24"/>
          <w:szCs w:val="24"/>
        </w:rPr>
      </w:pPr>
    </w:p>
    <w:p w14:paraId="5B998C3A">
      <w:pPr>
        <w:pStyle w:val="8"/>
        <w:spacing w:line="440" w:lineRule="atLeast"/>
        <w:rPr>
          <w:rFonts w:ascii="Times New Roman" w:hAnsi="Times New Roman" w:cs="Times New Roman"/>
          <w:sz w:val="24"/>
          <w:szCs w:val="24"/>
        </w:rPr>
      </w:pPr>
    </w:p>
    <w:p w14:paraId="5DC24E37">
      <w:pPr>
        <w:pStyle w:val="8"/>
        <w:spacing w:line="440" w:lineRule="atLeast"/>
        <w:rPr>
          <w:rFonts w:ascii="Times New Roman" w:hAnsi="Times New Roman" w:cs="Times New Roman"/>
          <w:sz w:val="24"/>
          <w:szCs w:val="24"/>
        </w:rPr>
      </w:pPr>
    </w:p>
    <w:p w14:paraId="23FE55BD">
      <w:pPr>
        <w:pStyle w:val="8"/>
        <w:spacing w:line="440" w:lineRule="atLeast"/>
        <w:rPr>
          <w:rFonts w:ascii="Times New Roman" w:hAnsi="Times New Roman" w:cs="Times New Roman"/>
          <w:sz w:val="24"/>
          <w:szCs w:val="24"/>
        </w:rPr>
      </w:pPr>
    </w:p>
    <w:p w14:paraId="1860522B">
      <w:pPr>
        <w:pStyle w:val="8"/>
        <w:spacing w:line="440" w:lineRule="atLeast"/>
        <w:rPr>
          <w:rFonts w:ascii="Times New Roman" w:hAnsi="Times New Roman" w:cs="Times New Roman"/>
          <w:sz w:val="24"/>
          <w:szCs w:val="24"/>
        </w:rPr>
      </w:pPr>
    </w:p>
    <w:p w14:paraId="71629F5B">
      <w:pPr>
        <w:pStyle w:val="8"/>
        <w:spacing w:line="440" w:lineRule="atLeast"/>
        <w:rPr>
          <w:rFonts w:ascii="Times New Roman" w:hAnsi="Times New Roman" w:cs="Times New Roman"/>
          <w:sz w:val="24"/>
          <w:szCs w:val="24"/>
        </w:rPr>
      </w:pPr>
    </w:p>
    <w:p w14:paraId="1379446B">
      <w:pPr>
        <w:pStyle w:val="8"/>
        <w:spacing w:line="440" w:lineRule="atLeast"/>
        <w:rPr>
          <w:rFonts w:ascii="Times New Roman" w:hAnsi="Times New Roman" w:cs="Times New Roman"/>
          <w:sz w:val="24"/>
          <w:szCs w:val="24"/>
        </w:rPr>
      </w:pPr>
    </w:p>
    <w:p w14:paraId="1B87AD1B">
      <w:pPr>
        <w:pStyle w:val="8"/>
        <w:spacing w:line="440" w:lineRule="atLeast"/>
        <w:rPr>
          <w:rFonts w:ascii="Times New Roman" w:hAnsi="Times New Roman" w:cs="Times New Roman"/>
          <w:sz w:val="24"/>
          <w:szCs w:val="24"/>
        </w:rPr>
      </w:pPr>
    </w:p>
    <w:p w14:paraId="20F0DACE">
      <w:pPr>
        <w:pStyle w:val="8"/>
        <w:spacing w:line="440" w:lineRule="atLeast"/>
        <w:rPr>
          <w:rFonts w:ascii="Times New Roman" w:hAnsi="Times New Roman" w:cs="Times New Roman"/>
          <w:sz w:val="24"/>
          <w:szCs w:val="24"/>
        </w:rPr>
      </w:pPr>
    </w:p>
    <w:p w14:paraId="4BD48727">
      <w:pPr>
        <w:pStyle w:val="8"/>
        <w:spacing w:line="440" w:lineRule="atLeast"/>
        <w:rPr>
          <w:rFonts w:ascii="Times New Roman" w:hAnsi="Times New Roman" w:cs="Times New Roman"/>
          <w:sz w:val="24"/>
          <w:szCs w:val="24"/>
        </w:rPr>
      </w:pPr>
    </w:p>
    <w:p w14:paraId="42FD175B">
      <w:pPr>
        <w:pStyle w:val="8"/>
        <w:spacing w:line="440" w:lineRule="atLeast"/>
        <w:rPr>
          <w:rFonts w:ascii="Times New Roman" w:hAnsi="Times New Roman" w:cs="Times New Roman"/>
          <w:sz w:val="24"/>
          <w:szCs w:val="24"/>
        </w:rPr>
      </w:pPr>
    </w:p>
    <w:p w14:paraId="74577ED3">
      <w:pPr>
        <w:pStyle w:val="8"/>
        <w:spacing w:line="440" w:lineRule="atLeast"/>
        <w:rPr>
          <w:rFonts w:ascii="Times New Roman" w:hAnsi="Times New Roman" w:cs="Times New Roman"/>
          <w:sz w:val="24"/>
          <w:szCs w:val="24"/>
        </w:rPr>
      </w:pPr>
    </w:p>
    <w:p w14:paraId="7A03EDB8">
      <w:pPr>
        <w:pStyle w:val="8"/>
        <w:spacing w:line="440" w:lineRule="atLeast"/>
        <w:rPr>
          <w:rFonts w:ascii="Times New Roman" w:hAnsi="Times New Roman" w:cs="Times New Roman"/>
          <w:sz w:val="24"/>
          <w:szCs w:val="24"/>
        </w:rPr>
      </w:pPr>
    </w:p>
    <w:p w14:paraId="04BE6800">
      <w:pPr>
        <w:pStyle w:val="8"/>
        <w:spacing w:line="440" w:lineRule="atLeast"/>
        <w:rPr>
          <w:rFonts w:ascii="Times New Roman" w:hAnsi="Times New Roman" w:cs="Times New Roman"/>
          <w:sz w:val="24"/>
          <w:szCs w:val="24"/>
        </w:rPr>
      </w:pPr>
    </w:p>
    <w:p w14:paraId="0582B94F">
      <w:pPr>
        <w:pStyle w:val="8"/>
        <w:spacing w:line="440" w:lineRule="atLeast"/>
        <w:rPr>
          <w:rFonts w:ascii="Times New Roman" w:hAnsi="Times New Roman" w:cs="Times New Roman"/>
          <w:sz w:val="24"/>
          <w:szCs w:val="24"/>
        </w:rPr>
      </w:pPr>
    </w:p>
    <w:p w14:paraId="0B569447">
      <w:pPr>
        <w:pStyle w:val="8"/>
        <w:spacing w:line="440" w:lineRule="atLeast"/>
        <w:rPr>
          <w:rFonts w:ascii="Times New Roman" w:hAnsi="Times New Roman" w:cs="Times New Roman"/>
          <w:sz w:val="24"/>
          <w:szCs w:val="24"/>
        </w:rPr>
      </w:pPr>
    </w:p>
    <w:p w14:paraId="5C887E60">
      <w:pPr>
        <w:pStyle w:val="8"/>
        <w:spacing w:line="440" w:lineRule="atLeast"/>
        <w:rPr>
          <w:rFonts w:ascii="Times New Roman" w:hAnsi="Times New Roman" w:cs="Times New Roman"/>
          <w:sz w:val="24"/>
          <w:szCs w:val="24"/>
        </w:rPr>
      </w:pPr>
    </w:p>
    <w:p w14:paraId="042FA281">
      <w:pPr>
        <w:pStyle w:val="8"/>
        <w:spacing w:line="440" w:lineRule="atLeast"/>
        <w:rPr>
          <w:rFonts w:ascii="Times New Roman" w:hAnsi="Times New Roman" w:cs="Times New Roman"/>
          <w:sz w:val="24"/>
          <w:szCs w:val="24"/>
        </w:rPr>
      </w:pPr>
    </w:p>
    <w:p w14:paraId="7C360284">
      <w:pPr>
        <w:pStyle w:val="8"/>
        <w:spacing w:line="440" w:lineRule="atLeast"/>
        <w:rPr>
          <w:rFonts w:ascii="Times New Roman" w:hAnsi="Times New Roman" w:cs="Times New Roman"/>
          <w:sz w:val="24"/>
          <w:szCs w:val="24"/>
        </w:rPr>
      </w:pPr>
    </w:p>
    <w:p w14:paraId="597D02E6">
      <w:pPr>
        <w:pStyle w:val="8"/>
        <w:spacing w:line="440" w:lineRule="atLeast"/>
        <w:rPr>
          <w:rFonts w:ascii="Times New Roman" w:hAnsi="Times New Roman" w:cs="Times New Roman"/>
          <w:sz w:val="24"/>
          <w:szCs w:val="24"/>
        </w:rPr>
      </w:pPr>
    </w:p>
    <w:p w14:paraId="498F8F7F">
      <w:pPr>
        <w:pStyle w:val="8"/>
        <w:spacing w:line="440" w:lineRule="atLeast"/>
        <w:rPr>
          <w:rFonts w:ascii="Times New Roman" w:hAnsi="Times New Roman" w:cs="Times New Roman"/>
          <w:sz w:val="24"/>
          <w:szCs w:val="24"/>
        </w:rPr>
      </w:pPr>
    </w:p>
    <w:p w14:paraId="7FD8A453">
      <w:pPr>
        <w:pStyle w:val="8"/>
        <w:spacing w:line="440" w:lineRule="atLeast"/>
        <w:jc w:val="center"/>
        <w:rPr>
          <w:rFonts w:hint="eastAsia" w:ascii="黑体" w:hAnsi="黑体" w:eastAsia="黑体" w:cs="黑体"/>
          <w:b/>
          <w:bCs/>
          <w:sz w:val="36"/>
          <w:szCs w:val="36"/>
          <w:lang w:val="en-US" w:eastAsia="zh-CN"/>
        </w:rPr>
      </w:pPr>
      <w:r>
        <w:rPr>
          <w:rFonts w:hint="eastAsia" w:ascii="黑体" w:hAnsi="黑体" w:eastAsia="黑体" w:cs="黑体"/>
          <w:b/>
          <w:bCs/>
          <w:sz w:val="36"/>
          <w:szCs w:val="36"/>
          <w:lang w:val="en-US" w:eastAsia="zh-CN"/>
        </w:rPr>
        <w:t>附    录</w:t>
      </w:r>
    </w:p>
    <w:p w14:paraId="02AF64B1">
      <w:pPr>
        <w:pStyle w:val="8"/>
        <w:spacing w:line="440" w:lineRule="atLeast"/>
        <w:jc w:val="both"/>
        <w:rPr>
          <w:rFonts w:hint="eastAsia" w:ascii="黑体" w:hAnsi="黑体" w:eastAsia="黑体" w:cs="黑体"/>
          <w:b/>
          <w:bCs/>
          <w:sz w:val="36"/>
          <w:szCs w:val="36"/>
          <w:lang w:val="en-US" w:eastAsia="zh-CN"/>
        </w:rPr>
      </w:pPr>
    </w:p>
    <w:p w14:paraId="1097A066">
      <w:pPr>
        <w:pStyle w:val="8"/>
        <w:spacing w:line="440" w:lineRule="atLeast"/>
        <w:jc w:val="both"/>
        <w:rPr>
          <w:rFonts w:hint="eastAsia" w:ascii="黑体" w:hAnsi="黑体" w:eastAsia="黑体" w:cs="黑体"/>
          <w:b/>
          <w:bCs/>
          <w:sz w:val="36"/>
          <w:szCs w:val="36"/>
          <w:lang w:val="en-US" w:eastAsia="zh-CN"/>
        </w:rPr>
      </w:pPr>
    </w:p>
    <w:p w14:paraId="3B128825">
      <w:pPr>
        <w:pStyle w:val="8"/>
        <w:spacing w:line="440" w:lineRule="atLeast"/>
        <w:jc w:val="both"/>
        <w:rPr>
          <w:rFonts w:hint="eastAsia" w:ascii="黑体" w:hAnsi="黑体" w:eastAsia="黑体" w:cs="黑体"/>
          <w:b/>
          <w:bCs/>
          <w:sz w:val="36"/>
          <w:szCs w:val="36"/>
          <w:lang w:val="en-US" w:eastAsia="zh-CN"/>
        </w:rPr>
      </w:pPr>
    </w:p>
    <w:p w14:paraId="0F6E53B2">
      <w:pPr>
        <w:pStyle w:val="8"/>
        <w:spacing w:line="440" w:lineRule="atLeast"/>
        <w:jc w:val="both"/>
        <w:rPr>
          <w:rFonts w:hint="eastAsia" w:ascii="黑体" w:hAnsi="黑体" w:eastAsia="黑体" w:cs="黑体"/>
          <w:b/>
          <w:bCs/>
          <w:sz w:val="36"/>
          <w:szCs w:val="36"/>
          <w:lang w:val="en-US" w:eastAsia="zh-CN"/>
        </w:rPr>
      </w:pPr>
    </w:p>
    <w:p w14:paraId="395C57DC">
      <w:pPr>
        <w:pStyle w:val="8"/>
        <w:spacing w:line="440" w:lineRule="atLeast"/>
        <w:jc w:val="both"/>
        <w:rPr>
          <w:rFonts w:hint="eastAsia" w:ascii="黑体" w:hAnsi="黑体" w:eastAsia="黑体" w:cs="黑体"/>
          <w:b/>
          <w:bCs/>
          <w:sz w:val="36"/>
          <w:szCs w:val="36"/>
          <w:lang w:val="en-US" w:eastAsia="zh-CN"/>
        </w:rPr>
      </w:pPr>
    </w:p>
    <w:p w14:paraId="46AFB989">
      <w:pPr>
        <w:pStyle w:val="8"/>
        <w:spacing w:line="440" w:lineRule="atLeast"/>
        <w:jc w:val="both"/>
        <w:rPr>
          <w:rFonts w:hint="eastAsia" w:ascii="黑体" w:hAnsi="黑体" w:eastAsia="黑体" w:cs="黑体"/>
          <w:b/>
          <w:bCs/>
          <w:sz w:val="36"/>
          <w:szCs w:val="36"/>
          <w:lang w:val="en-US" w:eastAsia="zh-CN"/>
        </w:rPr>
      </w:pPr>
    </w:p>
    <w:p w14:paraId="332A5915">
      <w:pPr>
        <w:pStyle w:val="8"/>
        <w:spacing w:line="440" w:lineRule="atLeast"/>
        <w:jc w:val="both"/>
        <w:rPr>
          <w:rFonts w:hint="eastAsia" w:ascii="黑体" w:hAnsi="黑体" w:eastAsia="黑体" w:cs="黑体"/>
          <w:b/>
          <w:bCs/>
          <w:sz w:val="36"/>
          <w:szCs w:val="36"/>
          <w:lang w:val="en-US" w:eastAsia="zh-CN"/>
        </w:rPr>
      </w:pPr>
    </w:p>
    <w:p w14:paraId="19FB7544">
      <w:pPr>
        <w:pStyle w:val="8"/>
        <w:spacing w:line="440" w:lineRule="atLeast"/>
        <w:jc w:val="both"/>
        <w:rPr>
          <w:rFonts w:hint="eastAsia" w:ascii="黑体" w:hAnsi="黑体" w:eastAsia="黑体" w:cs="黑体"/>
          <w:b/>
          <w:bCs/>
          <w:sz w:val="36"/>
          <w:szCs w:val="36"/>
          <w:lang w:val="en-US" w:eastAsia="zh-CN"/>
        </w:rPr>
      </w:pPr>
    </w:p>
    <w:p w14:paraId="0A32E122">
      <w:pPr>
        <w:pStyle w:val="8"/>
        <w:spacing w:line="440" w:lineRule="atLeast"/>
        <w:jc w:val="both"/>
        <w:rPr>
          <w:rFonts w:hint="eastAsia" w:ascii="黑体" w:hAnsi="黑体" w:eastAsia="黑体" w:cs="黑体"/>
          <w:b/>
          <w:bCs/>
          <w:sz w:val="36"/>
          <w:szCs w:val="36"/>
          <w:lang w:val="en-US" w:eastAsia="zh-CN"/>
        </w:rPr>
      </w:pPr>
    </w:p>
    <w:p w14:paraId="3E679D29">
      <w:pPr>
        <w:pStyle w:val="8"/>
        <w:spacing w:line="440" w:lineRule="atLeast"/>
        <w:jc w:val="both"/>
        <w:rPr>
          <w:rFonts w:hint="eastAsia" w:ascii="黑体" w:hAnsi="黑体" w:eastAsia="黑体" w:cs="黑体"/>
          <w:b/>
          <w:bCs/>
          <w:sz w:val="36"/>
          <w:szCs w:val="36"/>
          <w:lang w:val="en-US" w:eastAsia="zh-CN"/>
        </w:rPr>
      </w:pPr>
    </w:p>
    <w:p w14:paraId="24DF5B5D">
      <w:pPr>
        <w:pStyle w:val="8"/>
        <w:spacing w:line="440" w:lineRule="atLeast"/>
        <w:jc w:val="both"/>
        <w:rPr>
          <w:rFonts w:hint="eastAsia" w:ascii="黑体" w:hAnsi="黑体" w:eastAsia="黑体" w:cs="黑体"/>
          <w:b/>
          <w:bCs/>
          <w:sz w:val="36"/>
          <w:szCs w:val="36"/>
          <w:lang w:val="en-US" w:eastAsia="zh-CN"/>
        </w:rPr>
      </w:pPr>
    </w:p>
    <w:p w14:paraId="37959209">
      <w:pPr>
        <w:pStyle w:val="8"/>
        <w:spacing w:line="440" w:lineRule="atLeast"/>
        <w:jc w:val="both"/>
        <w:rPr>
          <w:rFonts w:hint="eastAsia" w:ascii="黑体" w:hAnsi="黑体" w:eastAsia="黑体" w:cs="黑体"/>
          <w:b/>
          <w:bCs/>
          <w:sz w:val="36"/>
          <w:szCs w:val="36"/>
          <w:lang w:val="en-US" w:eastAsia="zh-CN"/>
        </w:rPr>
      </w:pPr>
    </w:p>
    <w:p w14:paraId="67C302B6">
      <w:pPr>
        <w:pStyle w:val="8"/>
        <w:spacing w:line="440" w:lineRule="atLeast"/>
        <w:jc w:val="both"/>
        <w:rPr>
          <w:rFonts w:hint="eastAsia" w:ascii="黑体" w:hAnsi="黑体" w:eastAsia="黑体" w:cs="黑体"/>
          <w:b/>
          <w:bCs/>
          <w:sz w:val="36"/>
          <w:szCs w:val="36"/>
          <w:lang w:val="en-US" w:eastAsia="zh-CN"/>
        </w:rPr>
      </w:pPr>
    </w:p>
    <w:p w14:paraId="6447A159">
      <w:pPr>
        <w:pStyle w:val="8"/>
        <w:spacing w:line="440" w:lineRule="atLeast"/>
        <w:jc w:val="both"/>
        <w:rPr>
          <w:rFonts w:hint="eastAsia" w:ascii="黑体" w:hAnsi="黑体" w:eastAsia="黑体" w:cs="黑体"/>
          <w:b/>
          <w:bCs/>
          <w:sz w:val="36"/>
          <w:szCs w:val="36"/>
          <w:lang w:val="en-US" w:eastAsia="zh-CN"/>
        </w:rPr>
      </w:pPr>
    </w:p>
    <w:p w14:paraId="54FFECE6">
      <w:pPr>
        <w:pStyle w:val="8"/>
        <w:spacing w:line="440" w:lineRule="atLeast"/>
        <w:jc w:val="both"/>
        <w:rPr>
          <w:rFonts w:hint="eastAsia" w:ascii="黑体" w:hAnsi="黑体" w:eastAsia="黑体" w:cs="黑体"/>
          <w:b/>
          <w:bCs/>
          <w:sz w:val="36"/>
          <w:szCs w:val="36"/>
          <w:lang w:val="en-US" w:eastAsia="zh-CN"/>
        </w:rPr>
      </w:pPr>
    </w:p>
    <w:p w14:paraId="596415F5">
      <w:pPr>
        <w:pStyle w:val="8"/>
        <w:spacing w:line="440" w:lineRule="atLeast"/>
        <w:jc w:val="both"/>
        <w:rPr>
          <w:rFonts w:hint="eastAsia" w:ascii="黑体" w:hAnsi="黑体" w:eastAsia="黑体" w:cs="黑体"/>
          <w:b/>
          <w:bCs/>
          <w:sz w:val="36"/>
          <w:szCs w:val="36"/>
          <w:lang w:val="en-US" w:eastAsia="zh-CN"/>
        </w:rPr>
      </w:pPr>
    </w:p>
    <w:p w14:paraId="769883EE">
      <w:pPr>
        <w:pStyle w:val="8"/>
        <w:spacing w:line="440" w:lineRule="atLeast"/>
        <w:jc w:val="both"/>
        <w:rPr>
          <w:rFonts w:hint="eastAsia" w:ascii="黑体" w:hAnsi="黑体" w:eastAsia="黑体" w:cs="黑体"/>
          <w:b/>
          <w:bCs/>
          <w:sz w:val="36"/>
          <w:szCs w:val="36"/>
          <w:lang w:val="en-US" w:eastAsia="zh-CN"/>
        </w:rPr>
      </w:pPr>
    </w:p>
    <w:p w14:paraId="0100B572">
      <w:pPr>
        <w:pStyle w:val="8"/>
        <w:spacing w:line="440" w:lineRule="atLeast"/>
        <w:jc w:val="both"/>
        <w:rPr>
          <w:rFonts w:hint="eastAsia" w:ascii="黑体" w:hAnsi="黑体" w:eastAsia="黑体" w:cs="黑体"/>
          <w:b/>
          <w:bCs/>
          <w:sz w:val="36"/>
          <w:szCs w:val="36"/>
          <w:lang w:val="en-US" w:eastAsia="zh-CN"/>
        </w:rPr>
      </w:pPr>
    </w:p>
    <w:p w14:paraId="382168DF">
      <w:pPr>
        <w:pStyle w:val="8"/>
        <w:spacing w:line="440" w:lineRule="atLeast"/>
        <w:jc w:val="both"/>
        <w:rPr>
          <w:rFonts w:hint="eastAsia" w:ascii="黑体" w:hAnsi="黑体" w:eastAsia="黑体" w:cs="黑体"/>
          <w:b/>
          <w:bCs/>
          <w:sz w:val="36"/>
          <w:szCs w:val="36"/>
          <w:lang w:val="en-US" w:eastAsia="zh-CN"/>
        </w:rPr>
      </w:pPr>
    </w:p>
    <w:p w14:paraId="7B7DC2F3">
      <w:pPr>
        <w:pStyle w:val="8"/>
        <w:spacing w:line="440" w:lineRule="atLeast"/>
        <w:jc w:val="both"/>
        <w:rPr>
          <w:rFonts w:hint="eastAsia" w:ascii="黑体" w:hAnsi="黑体" w:eastAsia="黑体" w:cs="黑体"/>
          <w:b/>
          <w:bCs/>
          <w:sz w:val="36"/>
          <w:szCs w:val="36"/>
          <w:lang w:val="en-US" w:eastAsia="zh-CN"/>
        </w:rPr>
      </w:pPr>
    </w:p>
    <w:p w14:paraId="60821A99">
      <w:pPr>
        <w:pStyle w:val="8"/>
        <w:spacing w:line="440" w:lineRule="atLeast"/>
        <w:jc w:val="both"/>
        <w:rPr>
          <w:rFonts w:hint="eastAsia" w:ascii="黑体" w:hAnsi="黑体" w:eastAsia="黑体" w:cs="黑体"/>
          <w:b/>
          <w:bCs/>
          <w:sz w:val="36"/>
          <w:szCs w:val="36"/>
          <w:lang w:val="en-US" w:eastAsia="zh-CN"/>
        </w:rPr>
      </w:pPr>
    </w:p>
    <w:p w14:paraId="55ADB6A4">
      <w:pPr>
        <w:pStyle w:val="8"/>
        <w:spacing w:line="440" w:lineRule="atLeast"/>
        <w:jc w:val="center"/>
        <w:rPr>
          <w:rFonts w:hint="eastAsia" w:ascii="黑体" w:hAnsi="黑体" w:eastAsia="黑体" w:cs="黑体"/>
          <w:b/>
          <w:bCs/>
          <w:sz w:val="36"/>
          <w:szCs w:val="36"/>
          <w:lang w:val="en-US" w:eastAsia="zh-CN"/>
        </w:rPr>
      </w:pPr>
      <w:r>
        <w:rPr>
          <w:rFonts w:hint="eastAsia" w:ascii="黑体" w:hAnsi="黑体" w:eastAsia="黑体" w:cs="黑体"/>
          <w:b/>
          <w:bCs/>
          <w:sz w:val="36"/>
          <w:szCs w:val="36"/>
          <w:lang w:val="en-US" w:eastAsia="zh-CN"/>
        </w:rPr>
        <w:t>译文标题</w:t>
      </w:r>
    </w:p>
    <w:p w14:paraId="4C32033D">
      <w:pPr>
        <w:pStyle w:val="8"/>
        <w:spacing w:line="440" w:lineRule="atLeast"/>
        <w:jc w:val="center"/>
        <w:rPr>
          <w:rFonts w:hint="eastAsia" w:ascii="黑体" w:hAnsi="黑体" w:eastAsia="黑体" w:cs="黑体"/>
          <w:b/>
          <w:bCs/>
          <w:sz w:val="36"/>
          <w:szCs w:val="36"/>
          <w:lang w:val="en-US" w:eastAsia="zh-CN"/>
        </w:rPr>
      </w:pPr>
    </w:p>
    <w:p w14:paraId="32B123CA">
      <w:pPr>
        <w:pStyle w:val="8"/>
        <w:spacing w:line="440" w:lineRule="atLeast"/>
        <w:jc w:val="center"/>
        <w:rPr>
          <w:rFonts w:hint="eastAsia" w:ascii="黑体" w:hAnsi="黑体" w:eastAsia="黑体" w:cs="黑体"/>
          <w:b/>
          <w:bCs/>
          <w:sz w:val="36"/>
          <w:szCs w:val="36"/>
          <w:lang w:val="en-US" w:eastAsia="zh-CN"/>
        </w:rPr>
      </w:pPr>
    </w:p>
    <w:p w14:paraId="16E14664">
      <w:pPr>
        <w:pStyle w:val="8"/>
        <w:spacing w:line="440" w:lineRule="atLeast"/>
        <w:jc w:val="center"/>
        <w:rPr>
          <w:rFonts w:hint="eastAsia" w:ascii="黑体" w:hAnsi="黑体" w:eastAsia="黑体" w:cs="黑体"/>
          <w:b/>
          <w:bCs/>
          <w:sz w:val="36"/>
          <w:szCs w:val="36"/>
          <w:lang w:val="en-US" w:eastAsia="zh-CN"/>
        </w:rPr>
      </w:pPr>
    </w:p>
    <w:p w14:paraId="7E25A4F6">
      <w:pPr>
        <w:pStyle w:val="8"/>
        <w:spacing w:line="440" w:lineRule="atLeast"/>
        <w:jc w:val="center"/>
        <w:rPr>
          <w:rFonts w:hint="eastAsia" w:ascii="黑体" w:hAnsi="黑体" w:eastAsia="黑体" w:cs="黑体"/>
          <w:b/>
          <w:bCs/>
          <w:sz w:val="36"/>
          <w:szCs w:val="36"/>
          <w:lang w:val="en-US" w:eastAsia="zh-CN"/>
        </w:rPr>
      </w:pPr>
    </w:p>
    <w:p w14:paraId="243F2814">
      <w:pPr>
        <w:pStyle w:val="8"/>
        <w:spacing w:line="440" w:lineRule="atLeast"/>
        <w:jc w:val="center"/>
        <w:rPr>
          <w:rFonts w:hint="eastAsia" w:ascii="黑体" w:hAnsi="黑体" w:eastAsia="黑体" w:cs="黑体"/>
          <w:b/>
          <w:bCs/>
          <w:sz w:val="36"/>
          <w:szCs w:val="36"/>
          <w:lang w:val="en-US" w:eastAsia="zh-CN"/>
        </w:rPr>
      </w:pPr>
    </w:p>
    <w:p w14:paraId="231D352F">
      <w:pPr>
        <w:pStyle w:val="8"/>
        <w:spacing w:line="440" w:lineRule="atLeast"/>
        <w:jc w:val="center"/>
        <w:rPr>
          <w:rFonts w:hint="eastAsia" w:ascii="黑体" w:hAnsi="黑体" w:eastAsia="黑体" w:cs="黑体"/>
          <w:b/>
          <w:bCs/>
          <w:sz w:val="36"/>
          <w:szCs w:val="36"/>
          <w:lang w:val="en-US" w:eastAsia="zh-CN"/>
        </w:rPr>
      </w:pPr>
    </w:p>
    <w:p w14:paraId="39564C54">
      <w:pPr>
        <w:pStyle w:val="8"/>
        <w:spacing w:line="440" w:lineRule="atLeast"/>
        <w:jc w:val="center"/>
        <w:rPr>
          <w:rFonts w:hint="eastAsia" w:ascii="黑体" w:hAnsi="黑体" w:eastAsia="黑体" w:cs="黑体"/>
          <w:b/>
          <w:bCs/>
          <w:sz w:val="36"/>
          <w:szCs w:val="36"/>
          <w:lang w:val="en-US" w:eastAsia="zh-CN"/>
        </w:rPr>
      </w:pPr>
    </w:p>
    <w:p w14:paraId="240CC0E6">
      <w:pPr>
        <w:pStyle w:val="8"/>
        <w:spacing w:line="440" w:lineRule="atLeast"/>
        <w:jc w:val="center"/>
        <w:rPr>
          <w:rFonts w:hint="eastAsia" w:ascii="黑体" w:hAnsi="黑体" w:eastAsia="黑体" w:cs="黑体"/>
          <w:b/>
          <w:bCs/>
          <w:sz w:val="36"/>
          <w:szCs w:val="36"/>
          <w:lang w:val="en-US" w:eastAsia="zh-CN"/>
        </w:rPr>
      </w:pPr>
    </w:p>
    <w:p w14:paraId="21CC5F15">
      <w:pPr>
        <w:pStyle w:val="8"/>
        <w:spacing w:line="440" w:lineRule="atLeast"/>
        <w:jc w:val="center"/>
        <w:rPr>
          <w:rFonts w:hint="eastAsia" w:ascii="黑体" w:hAnsi="黑体" w:eastAsia="黑体" w:cs="黑体"/>
          <w:b/>
          <w:bCs/>
          <w:sz w:val="36"/>
          <w:szCs w:val="36"/>
          <w:lang w:val="en-US" w:eastAsia="zh-CN"/>
        </w:rPr>
      </w:pPr>
    </w:p>
    <w:p w14:paraId="45A29F8D">
      <w:pPr>
        <w:pStyle w:val="8"/>
        <w:spacing w:line="440" w:lineRule="atLeast"/>
        <w:jc w:val="center"/>
        <w:rPr>
          <w:rFonts w:hint="eastAsia" w:ascii="黑体" w:hAnsi="黑体" w:eastAsia="黑体" w:cs="黑体"/>
          <w:b/>
          <w:bCs/>
          <w:sz w:val="36"/>
          <w:szCs w:val="36"/>
          <w:lang w:val="en-US" w:eastAsia="zh-CN"/>
        </w:rPr>
      </w:pPr>
    </w:p>
    <w:p w14:paraId="0FDC190F">
      <w:pPr>
        <w:pStyle w:val="8"/>
        <w:spacing w:line="440" w:lineRule="atLeast"/>
        <w:jc w:val="center"/>
        <w:rPr>
          <w:rFonts w:hint="eastAsia" w:ascii="黑体" w:hAnsi="黑体" w:eastAsia="黑体" w:cs="黑体"/>
          <w:b/>
          <w:bCs/>
          <w:sz w:val="36"/>
          <w:szCs w:val="36"/>
          <w:lang w:val="en-US" w:eastAsia="zh-CN"/>
        </w:rPr>
      </w:pPr>
    </w:p>
    <w:p w14:paraId="2DB9ADED">
      <w:pPr>
        <w:pStyle w:val="8"/>
        <w:spacing w:line="440" w:lineRule="atLeast"/>
        <w:jc w:val="center"/>
        <w:rPr>
          <w:rFonts w:hint="eastAsia" w:ascii="黑体" w:hAnsi="黑体" w:eastAsia="黑体" w:cs="黑体"/>
          <w:b/>
          <w:bCs/>
          <w:sz w:val="36"/>
          <w:szCs w:val="36"/>
          <w:lang w:val="en-US" w:eastAsia="zh-CN"/>
        </w:rPr>
      </w:pPr>
    </w:p>
    <w:p w14:paraId="51F682AA">
      <w:pPr>
        <w:pStyle w:val="8"/>
        <w:spacing w:line="440" w:lineRule="atLeast"/>
        <w:jc w:val="center"/>
        <w:rPr>
          <w:rFonts w:hint="eastAsia" w:ascii="黑体" w:hAnsi="黑体" w:eastAsia="黑体" w:cs="黑体"/>
          <w:b/>
          <w:bCs/>
          <w:sz w:val="36"/>
          <w:szCs w:val="36"/>
          <w:lang w:val="en-US" w:eastAsia="zh-CN"/>
        </w:rPr>
      </w:pPr>
    </w:p>
    <w:p w14:paraId="61A225DE">
      <w:pPr>
        <w:pStyle w:val="8"/>
        <w:spacing w:line="440" w:lineRule="atLeast"/>
        <w:jc w:val="center"/>
        <w:rPr>
          <w:rFonts w:hint="eastAsia" w:ascii="黑体" w:hAnsi="黑体" w:eastAsia="黑体" w:cs="黑体"/>
          <w:b/>
          <w:bCs/>
          <w:sz w:val="36"/>
          <w:szCs w:val="36"/>
          <w:lang w:val="en-US" w:eastAsia="zh-CN"/>
        </w:rPr>
      </w:pPr>
    </w:p>
    <w:p w14:paraId="3E249189">
      <w:pPr>
        <w:pStyle w:val="8"/>
        <w:spacing w:line="440" w:lineRule="atLeast"/>
        <w:jc w:val="center"/>
        <w:rPr>
          <w:rFonts w:hint="eastAsia" w:ascii="黑体" w:hAnsi="黑体" w:eastAsia="黑体" w:cs="黑体"/>
          <w:b/>
          <w:bCs/>
          <w:sz w:val="36"/>
          <w:szCs w:val="36"/>
          <w:lang w:val="en-US" w:eastAsia="zh-CN"/>
        </w:rPr>
      </w:pPr>
    </w:p>
    <w:p w14:paraId="63F8C88C">
      <w:pPr>
        <w:pStyle w:val="8"/>
        <w:spacing w:line="440" w:lineRule="atLeast"/>
        <w:jc w:val="center"/>
        <w:rPr>
          <w:rFonts w:hint="eastAsia" w:ascii="黑体" w:hAnsi="黑体" w:eastAsia="黑体" w:cs="黑体"/>
          <w:b/>
          <w:bCs/>
          <w:sz w:val="36"/>
          <w:szCs w:val="36"/>
          <w:lang w:val="en-US" w:eastAsia="zh-CN"/>
        </w:rPr>
      </w:pPr>
    </w:p>
    <w:p w14:paraId="2B8A1D90">
      <w:pPr>
        <w:pStyle w:val="8"/>
        <w:spacing w:line="440" w:lineRule="atLeast"/>
        <w:jc w:val="center"/>
        <w:rPr>
          <w:rFonts w:hint="eastAsia" w:ascii="黑体" w:hAnsi="黑体" w:eastAsia="黑体" w:cs="黑体"/>
          <w:b/>
          <w:bCs/>
          <w:sz w:val="36"/>
          <w:szCs w:val="36"/>
          <w:lang w:val="en-US" w:eastAsia="zh-CN"/>
        </w:rPr>
      </w:pPr>
    </w:p>
    <w:p w14:paraId="51EB794F">
      <w:pPr>
        <w:pStyle w:val="8"/>
        <w:spacing w:line="440" w:lineRule="atLeast"/>
        <w:jc w:val="center"/>
        <w:rPr>
          <w:rFonts w:hint="eastAsia" w:ascii="黑体" w:hAnsi="黑体" w:eastAsia="黑体" w:cs="黑体"/>
          <w:b/>
          <w:bCs/>
          <w:sz w:val="36"/>
          <w:szCs w:val="36"/>
          <w:lang w:val="en-US" w:eastAsia="zh-CN"/>
        </w:rPr>
      </w:pPr>
    </w:p>
    <w:p w14:paraId="37162766">
      <w:pPr>
        <w:pStyle w:val="8"/>
        <w:spacing w:line="440" w:lineRule="atLeast"/>
        <w:jc w:val="center"/>
        <w:rPr>
          <w:rFonts w:hint="eastAsia" w:ascii="黑体" w:hAnsi="黑体" w:eastAsia="黑体" w:cs="黑体"/>
          <w:b/>
          <w:bCs/>
          <w:sz w:val="36"/>
          <w:szCs w:val="36"/>
          <w:lang w:val="en-US" w:eastAsia="zh-CN"/>
        </w:rPr>
      </w:pPr>
    </w:p>
    <w:p w14:paraId="4C3CD7F8">
      <w:pPr>
        <w:pStyle w:val="8"/>
        <w:spacing w:line="440" w:lineRule="atLeast"/>
        <w:jc w:val="center"/>
        <w:rPr>
          <w:rFonts w:hint="eastAsia" w:ascii="黑体" w:hAnsi="黑体" w:eastAsia="黑体" w:cs="黑体"/>
          <w:b/>
          <w:bCs/>
          <w:sz w:val="36"/>
          <w:szCs w:val="36"/>
          <w:lang w:val="en-US" w:eastAsia="zh-CN"/>
        </w:rPr>
      </w:pPr>
    </w:p>
    <w:p w14:paraId="6164E81F">
      <w:pPr>
        <w:pStyle w:val="8"/>
        <w:spacing w:line="440" w:lineRule="atLeast"/>
        <w:jc w:val="center"/>
        <w:rPr>
          <w:rFonts w:hint="eastAsia" w:ascii="黑体" w:hAnsi="黑体" w:eastAsia="黑体" w:cs="黑体"/>
          <w:b/>
          <w:bCs/>
          <w:sz w:val="36"/>
          <w:szCs w:val="36"/>
          <w:lang w:val="en-US" w:eastAsia="zh-CN"/>
        </w:rPr>
      </w:pPr>
    </w:p>
    <w:p w14:paraId="793D21DD">
      <w:pPr>
        <w:pStyle w:val="8"/>
        <w:spacing w:line="440" w:lineRule="atLeast"/>
        <w:jc w:val="center"/>
        <w:rPr>
          <w:rFonts w:hint="default" w:ascii="Times New Roman" w:hAnsi="Times New Roman" w:eastAsia="黑体" w:cs="Times New Roman"/>
          <w:b/>
          <w:bCs/>
          <w:sz w:val="36"/>
          <w:szCs w:val="36"/>
          <w:lang w:val="en-US" w:eastAsia="zh-CN"/>
        </w:rPr>
      </w:pPr>
      <w:r>
        <w:rPr>
          <w:rFonts w:hint="default" w:ascii="Times New Roman" w:hAnsi="Times New Roman" w:eastAsia="黑体" w:cs="Times New Roman"/>
          <w:b/>
          <w:bCs/>
          <w:sz w:val="36"/>
          <w:szCs w:val="36"/>
          <w:lang w:val="en-US" w:eastAsia="zh-CN"/>
        </w:rPr>
        <w:t>Title</w:t>
      </w:r>
    </w:p>
    <w:sectPr>
      <w:footerReference r:id="rId12" w:type="default"/>
      <w:pgSz w:w="11906" w:h="16838"/>
      <w:pgMar w:top="1418" w:right="1701" w:bottom="1417" w:left="1701"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A86AD48-33E2-4B7B-A05C-442FC46E012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大黑简体">
    <w:panose1 w:val="02000000000000000000"/>
    <w:charset w:val="86"/>
    <w:family w:val="script"/>
    <w:pitch w:val="default"/>
    <w:sig w:usb0="A00002BF" w:usb1="184F6CFA" w:usb2="00000012" w:usb3="00000000" w:csb0="00040001" w:csb1="00000000"/>
    <w:embedRegular r:id="rId2" w:fontKey="{D3D6DD92-E183-4BDF-B4A8-879E0EC5039F}"/>
  </w:font>
  <w:font w:name="方正楷体_GB2312">
    <w:panose1 w:val="02000000000000000000"/>
    <w:charset w:val="86"/>
    <w:family w:val="auto"/>
    <w:pitch w:val="default"/>
    <w:sig w:usb0="A00002BF" w:usb1="184F6CFA" w:usb2="00000012" w:usb3="00000000" w:csb0="00040001" w:csb1="00000000"/>
    <w:embedRegular r:id="rId3" w:fontKey="{D7C09DF5-1F9C-4A33-8152-EE3D7F5C91DD}"/>
  </w:font>
  <w:font w:name="Cambria Math">
    <w:panose1 w:val="02040503050406030204"/>
    <w:charset w:val="00"/>
    <w:family w:val="roman"/>
    <w:pitch w:val="default"/>
    <w:sig w:usb0="E00006FF" w:usb1="420024FF" w:usb2="02000000" w:usb3="00000000" w:csb0="2000019F" w:csb1="00000000"/>
    <w:embedRegular r:id="rId4" w:fontKey="{D965C47C-D318-411A-8838-76BABBE73610}"/>
  </w:font>
  <w:font w:name="MS Mincho">
    <w:altName w:val="Yu Gothic UI"/>
    <w:panose1 w:val="02020609040205080304"/>
    <w:charset w:val="80"/>
    <w:family w:val="modern"/>
    <w:pitch w:val="default"/>
    <w:sig w:usb0="00000000" w:usb1="00000000" w:usb2="08000012" w:usb3="00000000" w:csb0="0002009F" w:csb1="00000000"/>
    <w:embedRegular r:id="rId5" w:fontKey="{1EAD7FF6-F8BC-4086-879D-7B39D09976D1}"/>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2958F">
    <w:pPr>
      <w:spacing w:line="300" w:lineRule="auto"/>
      <w:ind w:left="420" w:firstLine="42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8CF1F1">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538CF1F1">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1549D">
    <w:pPr>
      <w:spacing w:line="300" w:lineRule="auto"/>
      <w:ind w:left="420" w:firstLine="4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4499B">
    <w:pPr>
      <w:spacing w:line="300" w:lineRule="auto"/>
      <w:ind w:left="420" w:firstLine="4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9C4B0">
    <w:pPr>
      <w:spacing w:line="300" w:lineRule="auto"/>
      <w:ind w:left="420" w:firstLine="42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01A1C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2E01A1CD">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4D8BE2">
    <w:pPr>
      <w:pStyle w:val="10"/>
      <w:jc w:val="center"/>
    </w:pPr>
    <w:r>
      <w:rPr>
        <w:rFonts w:hint="eastAsia"/>
      </w:rPr>
      <w:t>山东大学本科生毕业论文（设计）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6EB69">
    <w:pPr>
      <w:pStyle w:val="10"/>
      <w:jc w:val="center"/>
    </w:pPr>
    <w:r>
      <w:rPr>
        <w:rFonts w:hint="eastAsia"/>
      </w:rPr>
      <w:t>山东大学本科生毕业论文（设计）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BB914">
    <w:pPr>
      <w:pStyle w:val="1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1116D">
    <w:pPr>
      <w:pStyle w:val="10"/>
      <w:jc w:val="cent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18927">
    <w:pPr>
      <w:pStyle w:val="1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42AC38">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3642AC38">
                    <w:pPr>
                      <w:pStyle w:val="10"/>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0CB31">
    <w:pPr>
      <w:pStyle w:val="10"/>
      <w:jc w:val="center"/>
    </w:pPr>
    <w:r>
      <w:rPr>
        <w:rFonts w:hint="eastAsia"/>
      </w:rPr>
      <w:t>山东大学本科生毕业论文（设计）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17A63C"/>
    <w:multiLevelType w:val="multilevel"/>
    <w:tmpl w:val="F217A63C"/>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ascii="Times New Roman" w:hAnsi="Times New Roman" w:eastAsia="黑体" w:cs="Times New Roman"/>
        <w:sz w:val="28"/>
        <w:szCs w:val="28"/>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19AD"/>
    <w:rsid w:val="00126905"/>
    <w:rsid w:val="00395BA8"/>
    <w:rsid w:val="003A4DE9"/>
    <w:rsid w:val="007A55E1"/>
    <w:rsid w:val="00C548FE"/>
    <w:rsid w:val="00F719AD"/>
    <w:rsid w:val="00F946C5"/>
    <w:rsid w:val="02145195"/>
    <w:rsid w:val="05490F8F"/>
    <w:rsid w:val="0A785834"/>
    <w:rsid w:val="0AE53B72"/>
    <w:rsid w:val="0C7D0506"/>
    <w:rsid w:val="0D3C216F"/>
    <w:rsid w:val="0E0463CE"/>
    <w:rsid w:val="0EDB59B8"/>
    <w:rsid w:val="1228479D"/>
    <w:rsid w:val="130C6140"/>
    <w:rsid w:val="142D1A1F"/>
    <w:rsid w:val="177E5132"/>
    <w:rsid w:val="17FD7656"/>
    <w:rsid w:val="21C371B2"/>
    <w:rsid w:val="25076767"/>
    <w:rsid w:val="283C343C"/>
    <w:rsid w:val="29EA4E2F"/>
    <w:rsid w:val="2B91322F"/>
    <w:rsid w:val="30D70302"/>
    <w:rsid w:val="31F75DB5"/>
    <w:rsid w:val="32285E27"/>
    <w:rsid w:val="33CC2B46"/>
    <w:rsid w:val="35091591"/>
    <w:rsid w:val="36BE50F4"/>
    <w:rsid w:val="36C03AB3"/>
    <w:rsid w:val="381E22EE"/>
    <w:rsid w:val="38710629"/>
    <w:rsid w:val="3B6C42B8"/>
    <w:rsid w:val="3C495DE6"/>
    <w:rsid w:val="3DA57AEF"/>
    <w:rsid w:val="3DAA0180"/>
    <w:rsid w:val="3E554590"/>
    <w:rsid w:val="3F5F6F4D"/>
    <w:rsid w:val="401C35B7"/>
    <w:rsid w:val="40776A3F"/>
    <w:rsid w:val="41765884"/>
    <w:rsid w:val="41DC3B36"/>
    <w:rsid w:val="43287807"/>
    <w:rsid w:val="438D51F4"/>
    <w:rsid w:val="464C0026"/>
    <w:rsid w:val="4A467D22"/>
    <w:rsid w:val="4B37108B"/>
    <w:rsid w:val="4BB23021"/>
    <w:rsid w:val="4C53424A"/>
    <w:rsid w:val="4CC53FEB"/>
    <w:rsid w:val="4EC2357B"/>
    <w:rsid w:val="4EF3535E"/>
    <w:rsid w:val="4F043B94"/>
    <w:rsid w:val="4F6B59C1"/>
    <w:rsid w:val="4F7F68E8"/>
    <w:rsid w:val="519265F5"/>
    <w:rsid w:val="5219153F"/>
    <w:rsid w:val="53EC4BF7"/>
    <w:rsid w:val="53F65A75"/>
    <w:rsid w:val="54F41F35"/>
    <w:rsid w:val="56382375"/>
    <w:rsid w:val="57463D80"/>
    <w:rsid w:val="592D1F39"/>
    <w:rsid w:val="5B6764D6"/>
    <w:rsid w:val="5CF300BA"/>
    <w:rsid w:val="62464A53"/>
    <w:rsid w:val="62BF00A6"/>
    <w:rsid w:val="63715118"/>
    <w:rsid w:val="64B52AA2"/>
    <w:rsid w:val="661E1587"/>
    <w:rsid w:val="67AF66E7"/>
    <w:rsid w:val="6867767A"/>
    <w:rsid w:val="690E58E3"/>
    <w:rsid w:val="692F72C3"/>
    <w:rsid w:val="693469CC"/>
    <w:rsid w:val="6C411478"/>
    <w:rsid w:val="6CE07597"/>
    <w:rsid w:val="6D323636"/>
    <w:rsid w:val="6D4713C4"/>
    <w:rsid w:val="6D7101EF"/>
    <w:rsid w:val="6F177D1E"/>
    <w:rsid w:val="71025FE1"/>
    <w:rsid w:val="71D92806"/>
    <w:rsid w:val="72145E22"/>
    <w:rsid w:val="72BA6194"/>
    <w:rsid w:val="7904460D"/>
    <w:rsid w:val="7B256ABC"/>
    <w:rsid w:val="7BE2675B"/>
    <w:rsid w:val="7EDC1B88"/>
    <w:rsid w:val="7F7A6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bCs/>
      <w:kern w:val="44"/>
      <w:sz w:val="44"/>
      <w:szCs w:val="44"/>
    </w:rPr>
  </w:style>
  <w:style w:type="paragraph" w:styleId="3">
    <w:name w:val="heading 2"/>
    <w:basedOn w:val="1"/>
    <w:next w:val="1"/>
    <w:qFormat/>
    <w:uiPriority w:val="0"/>
    <w:pPr>
      <w:keepNext/>
      <w:keepLines/>
      <w:spacing w:before="260" w:after="260" w:line="415" w:lineRule="auto"/>
      <w:outlineLvl w:val="1"/>
    </w:pPr>
    <w:rPr>
      <w:rFonts w:ascii="Arial" w:hAnsi="Arial" w:eastAsia="黑体"/>
      <w:b/>
      <w:bCs/>
      <w:sz w:val="32"/>
      <w:szCs w:val="32"/>
    </w:rPr>
  </w:style>
  <w:style w:type="paragraph" w:styleId="4">
    <w:name w:val="heading 3"/>
    <w:basedOn w:val="1"/>
    <w:next w:val="1"/>
    <w:link w:val="28"/>
    <w:qFormat/>
    <w:uiPriority w:val="0"/>
    <w:pPr>
      <w:keepNext/>
      <w:keepLines/>
      <w:spacing w:before="260" w:after="260" w:line="415" w:lineRule="auto"/>
      <w:outlineLvl w:val="2"/>
    </w:pPr>
    <w:rPr>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annotation text"/>
    <w:basedOn w:val="1"/>
    <w:qFormat/>
    <w:uiPriority w:val="0"/>
    <w:pPr>
      <w:jc w:val="left"/>
    </w:pPr>
  </w:style>
  <w:style w:type="paragraph" w:styleId="7">
    <w:name w:val="toc 3"/>
    <w:basedOn w:val="1"/>
    <w:next w:val="1"/>
    <w:qFormat/>
    <w:uiPriority w:val="0"/>
    <w:pPr>
      <w:ind w:left="840" w:leftChars="400"/>
    </w:pPr>
    <w:rPr>
      <w:szCs w:val="20"/>
    </w:rPr>
  </w:style>
  <w:style w:type="paragraph" w:styleId="8">
    <w:name w:val="Plain Text"/>
    <w:basedOn w:val="1"/>
    <w:link w:val="24"/>
    <w:qFormat/>
    <w:uiPriority w:val="0"/>
    <w:rPr>
      <w:rFonts w:ascii="宋体" w:hAnsi="Courier New" w:cs="Courier New"/>
      <w:szCs w:val="21"/>
    </w:rPr>
  </w:style>
  <w:style w:type="paragraph" w:styleId="9">
    <w:name w:val="footer"/>
    <w:basedOn w:val="1"/>
    <w:unhideWhenUsed/>
    <w:qFormat/>
    <w:uiPriority w:val="99"/>
    <w:pPr>
      <w:tabs>
        <w:tab w:val="center" w:pos="4153"/>
        <w:tab w:val="right" w:pos="8306"/>
      </w:tabs>
      <w:snapToGrid w:val="0"/>
      <w:jc w:val="left"/>
    </w:pPr>
    <w:rPr>
      <w:sz w:val="18"/>
    </w:rPr>
  </w:style>
  <w:style w:type="paragraph" w:styleId="10">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1"/>
    <w:basedOn w:val="1"/>
    <w:next w:val="1"/>
    <w:qFormat/>
    <w:uiPriority w:val="0"/>
    <w:rPr>
      <w:b/>
      <w:sz w:val="24"/>
      <w:szCs w:val="20"/>
    </w:rPr>
  </w:style>
  <w:style w:type="paragraph" w:styleId="12">
    <w:name w:val="footnote text"/>
    <w:basedOn w:val="1"/>
    <w:link w:val="26"/>
    <w:semiHidden/>
    <w:unhideWhenUsed/>
    <w:qFormat/>
    <w:uiPriority w:val="99"/>
    <w:pPr>
      <w:snapToGrid w:val="0"/>
      <w:jc w:val="left"/>
    </w:pPr>
    <w:rPr>
      <w:sz w:val="18"/>
      <w:szCs w:val="18"/>
    </w:rPr>
  </w:style>
  <w:style w:type="paragraph" w:styleId="13">
    <w:name w:val="toc 2"/>
    <w:basedOn w:val="1"/>
    <w:next w:val="1"/>
    <w:qFormat/>
    <w:uiPriority w:val="0"/>
    <w:pPr>
      <w:ind w:left="420" w:leftChars="200"/>
    </w:pPr>
    <w:rPr>
      <w:szCs w:val="20"/>
    </w:rPr>
  </w:style>
  <w:style w:type="paragraph" w:styleId="14">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paragraph" w:styleId="15">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7">
    <w:name w:val="Table Grid"/>
    <w:basedOn w:val="1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FollowedHyperlink"/>
    <w:unhideWhenUsed/>
    <w:qFormat/>
    <w:uiPriority w:val="99"/>
    <w:rPr>
      <w:color w:val="954F72"/>
      <w:u w:val="single"/>
    </w:rPr>
  </w:style>
  <w:style w:type="character" w:styleId="21">
    <w:name w:val="Hyperlink"/>
    <w:qFormat/>
    <w:uiPriority w:val="0"/>
    <w:rPr>
      <w:color w:val="0000FF"/>
      <w:u w:val="single"/>
    </w:rPr>
  </w:style>
  <w:style w:type="character" w:styleId="22">
    <w:name w:val="HTML Code"/>
    <w:basedOn w:val="18"/>
    <w:semiHidden/>
    <w:unhideWhenUsed/>
    <w:qFormat/>
    <w:uiPriority w:val="99"/>
    <w:rPr>
      <w:rFonts w:ascii="Courier New" w:hAnsi="Courier New"/>
      <w:sz w:val="20"/>
    </w:rPr>
  </w:style>
  <w:style w:type="character" w:styleId="23">
    <w:name w:val="footnote reference"/>
    <w:basedOn w:val="18"/>
    <w:semiHidden/>
    <w:unhideWhenUsed/>
    <w:qFormat/>
    <w:uiPriority w:val="99"/>
    <w:rPr>
      <w:vertAlign w:val="superscript"/>
    </w:rPr>
  </w:style>
  <w:style w:type="character" w:customStyle="1" w:styleId="24">
    <w:name w:val="纯文本 字符"/>
    <w:link w:val="8"/>
    <w:qFormat/>
    <w:uiPriority w:val="0"/>
    <w:rPr>
      <w:rFonts w:ascii="宋体" w:hAnsi="Courier New" w:eastAsia="宋体" w:cs="Courier New"/>
      <w:kern w:val="2"/>
      <w:sz w:val="21"/>
      <w:szCs w:val="21"/>
      <w:lang w:val="en-US" w:eastAsia="zh-CN" w:bidi="ar-SA"/>
    </w:rPr>
  </w:style>
  <w:style w:type="character" w:styleId="25">
    <w:name w:val="Placeholder Text"/>
    <w:basedOn w:val="18"/>
    <w:unhideWhenUsed/>
    <w:qFormat/>
    <w:uiPriority w:val="99"/>
    <w:rPr>
      <w:color w:val="666666"/>
    </w:rPr>
  </w:style>
  <w:style w:type="character" w:customStyle="1" w:styleId="26">
    <w:name w:val="脚注文本 字符"/>
    <w:basedOn w:val="18"/>
    <w:link w:val="12"/>
    <w:semiHidden/>
    <w:qFormat/>
    <w:uiPriority w:val="99"/>
    <w:rPr>
      <w:kern w:val="2"/>
      <w:sz w:val="18"/>
      <w:szCs w:val="18"/>
    </w:rPr>
  </w:style>
  <w:style w:type="table" w:customStyle="1" w:styleId="27">
    <w:name w:val="Plain Table 4"/>
    <w:basedOn w:val="16"/>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28">
    <w:name w:val="标题 3 Char"/>
    <w:link w:val="4"/>
    <w:qFormat/>
    <w:uiPriority w:val="0"/>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3.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ntractReview xmlns="http://schemas.wps.cn/vas-ai-hub/contract-review">
  <reviewItems>
    <reviewItem>
      <errorID>70bed015-52a1-43b8-bf3e-50dc8aede49a</errorID>
      <errorWord>DINOv3</errorWord>
      <group>L1_English</group>
      <groupName>英文问题</groupName>
      <ability>L2_Word</ability>
      <abilityName>字词问题</abilityName>
      <candidateList>
        <item>the DINOv3</item>
      </candidateList>
      <explain>此处疑似有限定词缺失，建议将单词DINOv3修改为the DINOv3</explain>
      <paraID>41B4C1F8</paraID>
      <start>91</start>
      <end>97</end>
      <status>ignored</status>
      <modifiedWord/>
      <trackRevisions>false</trackRevisions>
    </reviewItem>
    <reviewItem>
      <errorID>3f545d2c-3c6b-459a-8477-eccc3155d88a</errorID>
      <errorWord>ability </errorWord>
      <group>L1_English</group>
      <groupName>英文问题</groupName>
      <ability>L2_Other_Grammar</ability>
      <abilityName>其他语法问题</abilityName>
      <candidateList>
        <item/>
      </candidateList>
      <explain>名词ability 疑似冗余，建议删除</explain>
      <paraID>41B4C1F8</paraID>
      <start>225</start>
      <end>233</end>
      <status>ignored</status>
      <modifiedWord/>
      <trackRevisions>false</trackRevisions>
    </reviewItem>
    <reviewItem>
      <errorID>5139a27c-d2c9-4b15-ad2b-05ec92eeee2e</errorID>
      <errorWord>Dice</errorWord>
      <group>L1_English</group>
      <groupName>英文问题</groupName>
      <ability>L2_Word</ability>
      <abilityName>字词问题</abilityName>
      <candidateList>
        <item>the Dice</item>
      </candidateList>
      <explain>此处疑似有限定词缺失，建议将单词Dice修改为the Dice</explain>
      <paraID>6FFFD076</paraID>
      <start>259</start>
      <end>263</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A91925-7065-45D4-9271-35BBD44AEB2F}">
  <ds:schemaRefs/>
</ds:datastoreItem>
</file>

<file path=customXml/itemProps3.xml><?xml version="1.0" encoding="utf-8"?>
<ds:datastoreItem xmlns:ds="http://schemas.openxmlformats.org/officeDocument/2006/customXml" ds:itemID="{f09ad3f2-206b-4fe4-8570-c920aeeadc3d}">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12051</Words>
  <Characters>16390</Characters>
  <Lines>137</Lines>
  <Paragraphs>38</Paragraphs>
  <TotalTime>20</TotalTime>
  <ScaleCrop>false</ScaleCrop>
  <LinksUpToDate>false</LinksUpToDate>
  <CharactersWithSpaces>17242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2009-05-08T15:02:00Z</dcterms:created>
  <dc:creator>Administrators</dc:creator>
  <cp:lastModifiedBy>Marvel</cp:lastModifiedBy>
  <cp:lastPrinted>2026-06-05T06:36:30Z</cp:lastPrinted>
  <dcterms:modified xsi:type="dcterms:W3CDTF">2026-06-05T08:09:38Z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eyJoZGlkIjoiMWE4NTQ5MmQwZTFmNzdjN2E4ODNkZDJlYWY4NTg1ZjAiLCJ1c2VySWQiOiI3NzY3MjU4NTgifQ==</vt:lpwstr>
  </property>
  <property fmtid="{D5CDD505-2E9C-101B-9397-08002B2CF9AE}" pid="4" name="ICV">
    <vt:lpwstr>6E563FE667AB4E078B1E2C413C099256_13</vt:lpwstr>
  </property>
</Properties>
</file>