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right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[MicrosCulipran]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Especificación de Casos de Uso MicrosCulipran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12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dt>
      <w:sdtPr>
        <w:id w:val="12473679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Actores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Índice de Casos de Uso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CU-01 - Visualizar vehículos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CU-02 - Consultar ubicación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CU-03 - Visualizar rutas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CU-04 - Consultar horarios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CU-05 - Consultar tarifas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CU-06 - Consultar información del recorrido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CU-07 - Consultar tiempo promedio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CU-08 - Iniciar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CU-09 - Consultar horarios asignados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CU-10 - Consultar rutas asignadas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CU-11 - Consultar recorridos asignados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CU-12 - Acceder módulo administrativo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CU-13 - Consultar información operacional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CU-14 - Consultar horarios y recorridos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CU-15 - Visualizar indicadores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CU-16 - Visualizar dashboard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Flujos alternativos / excepciones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presente documento especifica los casos de uso identificados para MicrosCulipran y describe el comportamiento esperado de las funcionalidades desde la perspectiva de sus actores. Para cada caso de uso se incorpora su especificación textual, diagrama específico, diagrama de secuencia y diagrama de comunicación.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documentación se mantiene alineada con las funcionalidades actualmente definidas para los módulos de Usuario Final, Conductor y Administrador. Los aspectos pendientes de validación con el cliente se conservan al nivel de detalle actualmente disponible.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2. Actores</w:t>
      </w:r>
    </w:p>
    <w:tbl>
      <w:tblPr>
        <w:tblStyle w:val="Table1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 que utiliza las funcionalidades públicas para consultar información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autenticado que consulta horarios, rutas y recorridos asignados.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autenticado con acceso al módulo administrativo, información operacional, indicadores y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3. Índice de Casos de Uso</w:t>
      </w:r>
    </w:p>
    <w:tbl>
      <w:tblPr>
        <w:tblStyle w:val="Table2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Visualizar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horarios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rutas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Visualizar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recorridos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Acceder módulo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tarifas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información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información del 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horarios y recorridos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tiempo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Visualizar 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Visualizar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  <w:sectPr>
          <w:headerReference r:id="rId7" w:type="default"/>
          <w:footerReference r:id="rId8" w:type="default"/>
          <w:pgSz w:h="15840" w:w="12240" w:orient="portrait"/>
          <w:pgMar w:bottom="1008" w:top="1008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CU-01 - Visualizar vehículos</w:t>
      </w:r>
    </w:p>
    <w:tbl>
      <w:tblPr>
        <w:tblStyle w:val="Table3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vehículos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Final visualizar los vehículos que se encuentran disponibles o en servicio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aplicación web debe encontrarse disponible y debe existir información de vehículos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presenta al usuario los vehículos disponibles para su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El Usuario Final accede a la aplicación web.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El sistema carga la información pública disponible.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El Usuario Final selecciona la opción de visualizar vehículos.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El sistema consulta los vehículos registrados y su estado.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El sistema muestra los vehículos disponibles al Usuario Final.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A1. Si no existen vehículos disponibles, el sistema informa que actualmente no hay vehículos para mostrar.</w:t>
      </w:r>
    </w:p>
    <w:p w:rsidR="00000000" w:rsidDel="00000000" w:rsidP="00000000" w:rsidRDefault="00000000" w:rsidRPr="00000000" w14:paraId="000000C5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Si no es posible recuperar la información, el sistema informa que los datos no se encuentran disponibles temporalmente.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CU-01 - Visualizar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946253"/>
            <wp:effectExtent b="0" l="0" r="0" t="0"/>
            <wp:docPr id="7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946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CU-01 - Visualizar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7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CU-01 - Visualizar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7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CU-02 - Consultar ubicación</w:t>
      </w:r>
    </w:p>
    <w:tbl>
      <w:tblPr>
        <w:tblStyle w:val="Table4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consultar la última ubicación disponible de un vehículo y visualizarla en 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 existir al menos un vehículo disponible para consultar y el sistema debe disponer de información de ubicación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la ubicación disponible del vehículo o un mensaje indicando que no existe información de ubicación.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 El Usuario Final selecciona un vehículo.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La interfaz solicita la ubicación actual del vehículo.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3. El sistema consulta la última ubicación registrada.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El sistema obtiene latitud, longitud, coordenadas y fecha/hora asociada.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5. La interfaz muestra la ubicación del vehículo en el mapa.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0E2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 una ubicación disponible para el vehículo seleccionado, el sistema muestra el mensaje “Ubicación no disponible”.</w:t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CU-02 - Consultar ubicación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839105"/>
            <wp:effectExtent b="0" l="0" r="0" t="0"/>
            <wp:docPr id="8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83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CU-02 - Consultar ubicación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525570"/>
            <wp:effectExtent b="0" l="0" r="0" t="0"/>
            <wp:docPr id="8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52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CU-02 - Consultar ubicación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3856493"/>
            <wp:effectExtent b="0" l="0" r="0" t="0"/>
            <wp:docPr id="8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856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CU-03 - Visualizar rutas</w:t>
      </w:r>
    </w:p>
    <w:tbl>
      <w:tblPr>
        <w:tblStyle w:val="Table5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Final consultar las rutas de transporte registradas en MicrosCulipran.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aplicación debe estar disponible y deben existir rutas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visualiza las rutas disponibles y su información básica.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El Usuario Final accede a la aplicación.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Selecciona la opción de rutas.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El sistema consulta las rutas registradas y activas.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El sistema presenta las rutas disponibles.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El usuario puede seleccionar una ruta para revisar su información.</w:t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0FF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rutas disponibles, el sistema informa que no hay información para mostrar.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CU-03 - Visualizar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949262"/>
            <wp:effectExtent b="0" l="0" r="0" t="0"/>
            <wp:docPr id="8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94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CU-03 - Visualizar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8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CU-03 - Visualizar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8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CU-04 - Consultar horarios</w:t>
      </w:r>
    </w:p>
    <w:tbl>
      <w:tblPr>
        <w:tblStyle w:val="Table6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horarios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consultar los horarios asociados a las rutas o recorridos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 existir información de rutas y horarios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Final visualiza los horarios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 El Usuario Final selecciona la opción de horarios.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El sistema consulta los horarios registrados.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El usuario selecciona una ruta o recorrido cuando corresponda.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El sistema filtra la información relacionada.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5. El sistema muestra los horarios disponibles.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1C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horarios para la selección realizada, el sistema informa que no hay horarios disponibles.</w:t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CU-04 - Consultar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725887"/>
            <wp:effectExtent b="0" l="0" r="0" t="0"/>
            <wp:docPr id="8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72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CU-04 - Consultar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8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CU-04 - Consultar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8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CU-05 - Consultar tarifas</w:t>
      </w:r>
    </w:p>
    <w:tbl>
      <w:tblPr>
        <w:tblStyle w:val="Table7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tarifas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consultar las tarifas vigentes asociadas al servicio o a una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Deben existir tarifas registradas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Final visualiza la tarifa vigente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El Usuario Final selecciona la opción de tarifas.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2. El sistema consulta las tarifas registradas.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3. El sistema valida la vigencia de la información.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4. El sistema muestra las tarifas disponibles al usuario.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38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 una tarifa vigente, el sistema informa que la información no se encuentra disponible.</w:t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CU-05 - Consultar tarifas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311639" cy="5806439"/>
            <wp:effectExtent b="0" l="0" r="0" t="0"/>
            <wp:docPr id="8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639" cy="580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CU-05 - Consultar tarifas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9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CU-05 - Consultar tarifas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9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  <w:t xml:space="preserve">CU-06 - Consultar información del recorrido</w:t>
      </w:r>
    </w:p>
    <w:tbl>
      <w:tblPr>
        <w:tblStyle w:val="Table8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información del recorrido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consultar información general de un recorrido, incluyendo los datos disponibles asociados a su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 existir información de recorridos y rutas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Final visualiza la información disponible del recorrido seleccionado.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1. El Usuario Final selecciona una ruta o recorrido.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2. El sistema consulta la información asociada.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3. El sistema recupera los datos disponibles del recorrido.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4. El sistema presenta la información al Usuario Final.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A1. Si el recorrido no posee información suficiente, el sistema muestra únicamente los datos disponibles.</w:t>
      </w:r>
    </w:p>
    <w:p w:rsidR="00000000" w:rsidDel="00000000" w:rsidP="00000000" w:rsidRDefault="00000000" w:rsidRPr="00000000" w14:paraId="00000155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Si el recorrido no existe o no está disponible, el sistema informa la situación.</w:t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CU-06 - Consultar información del 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652447"/>
            <wp:effectExtent b="0" l="0" r="0" t="0"/>
            <wp:docPr id="9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652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CU-06 - Consultar información del 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9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CU-06 - Consultar información del 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9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CU-07 - Consultar tiempo promedio</w:t>
      </w:r>
    </w:p>
    <w:tbl>
      <w:tblPr>
        <w:tblStyle w:val="Table9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tiempo 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consultar el tiempo promedio de viaje calculado a partir de información histórica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Deben existir datos históricos suficientes para calcular o consultar un tiempo promedio.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 el tiempo promedio disponible o se informa que todavía no existen datos suficientes.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1. El Usuario Final selecciona una ruta o recorrido.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2. El sistema consulta los datos históricos asociados.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3. El sistema obtiene o calcula el tiempo promedio disponible.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4. El sistema muestra el tiempo promedio al Usuario Final.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71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datos históricos suficientes, el sistema informa que el tiempo promedio aún no se encuentra disponible.</w:t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CU-07 - Consultar tiempo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787889"/>
            <wp:effectExtent b="0" l="0" r="0" t="0"/>
            <wp:docPr id="9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78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CU-07 - Consultar tiempo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9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CU-07 - Consultar tiempo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6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CU-08 - Iniciar sesión</w:t>
      </w:r>
    </w:p>
    <w:tbl>
      <w:tblPr>
        <w:tblStyle w:val="Table10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 Conductores y Administradores autenticarse para acceder a las funcionalidades correspondientes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poseer una cuenta válida y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las credenciales son válidas, se crea el acceso correspondiente y se carga el módulo según el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1. El Conductor o Administrador ingresa correo y contraseña.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2. La interfaz envía las credenciales al sistema.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3. El sistema valida las credenciales mediante el servicio de autenticación.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4. El sistema identifica el rol del usuario.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5. El sistema permite el acceso y carga el módulo correspondiente.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A1. Si las credenciales son inválidas, el sistema rechaza el acceso y muestra un mensaje de autenticación fallida.</w:t>
      </w:r>
    </w:p>
    <w:p w:rsidR="00000000" w:rsidDel="00000000" w:rsidP="00000000" w:rsidRDefault="00000000" w:rsidRPr="00000000" w14:paraId="0000018F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Si la cuenta no se encuentra habilitada, el sistema no permite el acceso.</w:t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CU-08 -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444355"/>
            <wp:effectExtent b="0" l="0" r="0" t="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44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CU-08 -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7534633" cy="5806440"/>
            <wp:effectExtent b="0" l="0" r="0" t="0"/>
            <wp:docPr id="6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633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CU-08 -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135901"/>
            <wp:effectExtent b="0" l="0" r="0" t="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13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CU-09 - Consultar horarios asignados</w:t>
      </w:r>
    </w:p>
    <w:tbl>
      <w:tblPr>
        <w:tblStyle w:val="Table11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horarios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Conductor consultar los horarios que tiene asignados.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debe haber iniciado sesión y debe existir información de asignaciones.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visualiza sus horarios asignados.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El Conductor inicia sesión.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Accede a la opción de horarios asignados.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 El sistema identifica al Conductor autenticado.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El sistema consulta sus horarios asociados.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5. El sistema muestra los horarios asignados.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el Conductor no posee horarios asignados, el sistema informa que no existen horarios disponibles para su cuenta.</w:t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CU-09 - Consultar horarios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387840" cy="5806440"/>
            <wp:effectExtent b="0" l="0" r="0" t="0"/>
            <wp:docPr id="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7840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CU-09 - Consultar horarios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7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CU-09 - Consultar horarios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CU-10 - Consultar rutas asignadas</w:t>
      </w:r>
    </w:p>
    <w:tbl>
      <w:tblPr>
        <w:tblStyle w:val="Table12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rutas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Conductor consultar las rutas asociadas a sus asignaciones.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debe estar autenticado y debe existir información de rutas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visualiza las rutas que tiene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 El Conductor accede a su módulo.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2. Selecciona la opción de rutas asignadas.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3. El sistema identifica al Conductor.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4. El sistema consulta las rutas relacionadas con sus asignaciones.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5. El sistema muestra las rutas asignadas.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C9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rutas asignadas, el sistema informa al Conductor que no posee rutas disponibles.</w:t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CU-10 - Consultar rutas asignadas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8930640" cy="5806440"/>
            <wp:effectExtent b="0" l="0" r="0" t="0"/>
            <wp:docPr id="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CU-10 - Consultar rutas asignadas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CU-10 - Consultar rutas asignadas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7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CU-11 - Consultar recorridos asignados</w:t>
      </w:r>
    </w:p>
    <w:tbl>
      <w:tblPr>
        <w:tblStyle w:val="Table13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recorridos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Conductor consultar los recorridos asociados a su jornada o 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debe estar autenticado y deben existir recorridos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visualiza la información de sus recorridos asignados.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1. El Conductor accede al módulo correspondiente.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2. Selecciona la opción de recorridos asignados.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3. El sistema consulta los recorridos relacionados con el Conductor.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4. El sistema recupera la información disponible.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5. El sistema muestra los recorridos asignados.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1E6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recorridos asignados, el sistema informa que no hay recorridos disponibles.</w:t>
      </w:r>
    </w:p>
    <w:p w:rsidR="00000000" w:rsidDel="00000000" w:rsidP="00000000" w:rsidRDefault="00000000" w:rsidRPr="00000000" w14:paraId="000001E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CU-11 - Consultar recorridos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311639" cy="5806439"/>
            <wp:effectExtent b="0" l="0" r="0" t="0"/>
            <wp:docPr id="5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639" cy="580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CU-11 - Consultar recorridos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CU-11 - Consultar recorridos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  <w:t xml:space="preserve">CU-12 - Acceder módulo administrativo</w:t>
      </w:r>
    </w:p>
    <w:tbl>
      <w:tblPr>
        <w:tblStyle w:val="Table14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Acceder módulo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Administrador ingresar al módulo privado desde el cual puede acceder a las funcionalidades administrativas de MicrosCulipran.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haber iniciado sesión correctamente y poseer el rol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módulo administrativo queda disponible para el usuario autenticado.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1. El Administrador inicia sesión.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 El sistema valida las credenciales y el rol.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3. El Administrador solicita acceder al módulo administrativo.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El sistema verifica los permisos correspondientes.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5. El sistema carga la interfaz administrativa y sus opciones disponibles.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A1. Si el usuario no posee permisos de Administrador, el sistema deniega el acceso.</w:t>
      </w:r>
    </w:p>
    <w:p w:rsidR="00000000" w:rsidDel="00000000" w:rsidP="00000000" w:rsidRDefault="00000000" w:rsidRPr="00000000" w14:paraId="00000204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Si la sesión ya no es válida, el sistema solicita una nueva autenticación.</w:t>
      </w:r>
    </w:p>
    <w:p w:rsidR="00000000" w:rsidDel="00000000" w:rsidP="00000000" w:rsidRDefault="00000000" w:rsidRPr="00000000" w14:paraId="000002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CU-12 - Acceder módulo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8930640" cy="5806440"/>
            <wp:effectExtent b="0" l="0" r="0" t="0"/>
            <wp:docPr id="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0640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CU-12 - Acceder módulo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CU-12 - Acceder módulo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CU-13 - Consultar información operacional</w:t>
      </w:r>
    </w:p>
    <w:tbl>
      <w:tblPr>
        <w:tblStyle w:val="Table15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información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Administrador consultar información relacionada con la operación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estar autenticado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presenta la información operacional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1. El Administrador accede al módulo administrativo.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2. Selecciona la opción de información operacional.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3. El sistema consulta los datos operacionales disponibles.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4. El sistema organiza la información recuperada.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5. El sistema muestra la información al Administrador.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A1. Si no existen datos suficientes para una sección, el sistema muestra únicamente la información disponible.</w:t>
      </w:r>
    </w:p>
    <w:p w:rsidR="00000000" w:rsidDel="00000000" w:rsidP="00000000" w:rsidRDefault="00000000" w:rsidRPr="00000000" w14:paraId="00000222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Si ocurre un error de consulta, el sistema informa que los datos no pudieron ser recuperados.</w:t>
      </w:r>
    </w:p>
    <w:p w:rsidR="00000000" w:rsidDel="00000000" w:rsidP="00000000" w:rsidRDefault="00000000" w:rsidRPr="00000000" w14:paraId="0000022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CU-13 - Consultar información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7800067" cy="5806440"/>
            <wp:effectExtent b="0" l="0" r="0" t="0"/>
            <wp:docPr id="6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067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CU-13 - Consultar información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CU-13 - Consultar información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6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  <w:t xml:space="preserve">CU-14 - Consultar horarios y recorridos</w:t>
      </w:r>
    </w:p>
    <w:tbl>
      <w:tblPr>
        <w:tblStyle w:val="Table16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horarios y recorridos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Administrador consultar la información de horarios y recorridos registrados para apoyar la gestión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estar autenticado y deben existir datos de horarios o recorridos.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visualiza los horarios y recorridos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1. El Administrador accede al módulo administrativo.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2. Selecciona la opción de horarios y recorridos.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3. El sistema consulta la información registrada.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4. El sistema relaciona los horarios con las rutas o recorridos correspondientes.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5. El sistema presenta los resultados al Administrador.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23F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registros para los criterios seleccionados, el sistema informa que no se encontraron resultados.</w:t>
      </w:r>
    </w:p>
    <w:p w:rsidR="00000000" w:rsidDel="00000000" w:rsidP="00000000" w:rsidRDefault="00000000" w:rsidRPr="00000000" w14:paraId="00000240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CU-14 - Consultar horarios y recorridos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8439746" cy="5806440"/>
            <wp:effectExtent b="0" l="0" r="0" t="0"/>
            <wp:docPr id="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746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CU-14 - Consultar horarios y recorridos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CU-14 - Consultar horarios y recorridos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r w:rsidDel="00000000" w:rsidR="00000000" w:rsidRPr="00000000">
        <w:rPr>
          <w:rtl w:val="0"/>
        </w:rPr>
        <w:t xml:space="preserve">CU-15 - Visualizar indicadores</w:t>
      </w:r>
    </w:p>
    <w:tbl>
      <w:tblPr>
        <w:tblStyle w:val="Table17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Administrador consultar indicadores de desempeño calculados a partir de la información operacional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estar autenticado y deben existir datos suficientes para calcular al menos un indicador.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muestran los indicadores que puedan ser calculados con la información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1. El Administrador accede al módulo administrativo.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2. Selecciona la opción de indicadores.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3. El sistema consulta los datos operacionales requeridos.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4. El sistema procesa la información disponible.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5. El sistema calcula los indicadores correspondientes.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6. El sistema muestra los resultados al Administrador.</w:t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A1. Si un indicador no posee datos suficientes, el sistema omite dicho cálculo o informa que no existe información suficiente.</w:t>
      </w:r>
    </w:p>
    <w:p w:rsidR="00000000" w:rsidDel="00000000" w:rsidP="00000000" w:rsidRDefault="00000000" w:rsidRPr="00000000" w14:paraId="0000025E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A2. Los indicadores definitivos dependerán de la validación realizada con el cliente.</w:t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CU-15 - Visualizar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8571411" cy="5806440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1411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CU-15 - Visualizar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299960"/>
            <wp:effectExtent b="0" l="0" r="0" t="0"/>
            <wp:docPr id="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9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CU-15 - Visualizar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4037766"/>
            <wp:effectExtent b="0" l="0" r="0" t="0"/>
            <wp:docPr id="5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r w:rsidDel="00000000" w:rsidR="00000000" w:rsidRPr="00000000">
        <w:rPr>
          <w:rtl w:val="0"/>
        </w:rPr>
        <w:t xml:space="preserve">CU-16 - Visualizar dashboard</w:t>
      </w:r>
    </w:p>
    <w:tbl>
      <w:tblPr>
        <w:tblStyle w:val="Table18"/>
        <w:tblW w:w="97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Administrador visualizar un dashboard con indicadores e información operacional resumida.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debe haber iniciado sesión y contar con permisos para acceder al módulo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dashboard presenta los indicadores completos o la información disponible según los datos existentes.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1. El Administrador solicita visualizar el dashboard.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El sistema consulta los datos operacionales.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3. El sistema procesa la información y obtiene los indicadores.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4. El sistema verifica si existen datos suficientes.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5. El sistema calcula los indicadores completos.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6. El sistema muestra el dashboard al Administrador.</w:t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Flujos alternativos / excepciones</w:t>
      </w:r>
    </w:p>
    <w:p w:rsidR="00000000" w:rsidDel="00000000" w:rsidP="00000000" w:rsidRDefault="00000000" w:rsidRPr="00000000" w14:paraId="0000027C">
      <w:pPr>
        <w:rPr/>
        <w:sectPr>
          <w:type w:val="nextPage"/>
          <w:pgSz w:h="15840" w:w="12240" w:orient="portrait"/>
          <w:pgMar w:bottom="1008" w:top="1008" w:left="1080" w:right="1080" w:header="720" w:footer="720"/>
        </w:sectPr>
      </w:pPr>
      <w:r w:rsidDel="00000000" w:rsidR="00000000" w:rsidRPr="00000000">
        <w:rPr>
          <w:rtl w:val="0"/>
        </w:rPr>
        <w:t xml:space="preserve">A1. Si no existen datos suficientes para calcular todos los indicadores, el sistema muestra el dashboard con la información disponible.</w:t>
      </w:r>
    </w:p>
    <w:p w:rsidR="00000000" w:rsidDel="00000000" w:rsidP="00000000" w:rsidRDefault="00000000" w:rsidRPr="00000000" w14:paraId="0000027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específico - CU-16 - Visualizar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509760" cy="5565620"/>
            <wp:effectExtent b="0" l="0" r="0" t="0"/>
            <wp:docPr id="5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56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- CU-16 - Visualizar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/>
        <w:sectPr>
          <w:type w:val="nextPage"/>
          <w:pgSz w:h="12240" w:w="15840" w:orient="landscape"/>
          <w:pgMar w:bottom="648" w:top="648" w:left="648" w:right="648" w:header="720" w:footer="720"/>
        </w:sectPr>
      </w:pPr>
      <w:r w:rsidDel="00000000" w:rsidR="00000000" w:rsidRPr="00000000">
        <w:rPr/>
        <w:drawing>
          <wp:inline distB="0" distT="0" distL="114300" distR="114300">
            <wp:extent cx="9414676" cy="5806440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4676" cy="580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- CU-16 - Visualizar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509760" cy="3896069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89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648" w:top="648" w:left="648" w:right="64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MicrosCulipran - Especificación de Casos de Uso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widowControl w:val="0"/>
      <w:spacing w:after="0"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668780" cy="414655"/>
          <wp:effectExtent b="0" l="0" r="0" t="0"/>
          <wp:wrapSquare wrapText="bothSides" distB="0" distT="0" distL="114300" distR="114300"/>
          <wp:docPr id="96" name="image38.png"/>
          <a:graphic>
            <a:graphicData uri="http://schemas.openxmlformats.org/drawingml/2006/picture">
              <pic:pic>
                <pic:nvPicPr>
                  <pic:cNvPr id="0" name="image3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85">
    <w:pPr>
      <w:spacing w:after="0"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6">
    <w:pPr>
      <w:spacing w:after="0"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7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i w:val="1"/>
      <w:iCs w:val="1"/>
      <w:color w:val="243f6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>
      <w:rFonts w:ascii="Arial" w:eastAsia="Arial" w:hAnsi="Arial"/>
      <w:sz w:val="20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E618BF"/>
    <w:rPr>
      <w:rFonts w:ascii="Arial" w:eastAsia="Arial" w:hAnsi="Arial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rial" w:eastAsia="Arial" w:hAnsi="Arial" w:asciiTheme="majorHAnsi" w:cstheme="majorBidi" w:eastAsiaTheme="majorEastAsia" w:hAnsiTheme="majorHAnsi"/>
      <w:i w:val="1"/>
      <w:iCs w:val="1"/>
      <w:color w:val="404040" w:themeColor="text1" w:themeTint="0000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rial" w:eastAsia="Arial" w:hAnsi="Arial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rial" w:eastAsia="Arial" w:hAnsi="Arial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Arial" w:eastAsia="Arial" w:hAnsi="Arial"/>
      <w:sz w:val="20"/>
    </w:rPr>
  </w:style>
  <w:style w:type="table" w:styleId="TableNormal" w:default="1">
    <w:name w:val="Normal Table"/>
    <w:uiPriority w:val="99"/>
    <w:semiHidden w:val="1"/>
    <w:unhideWhenUsed w:val="1"/>
    <w:rPr>
      <w:rFonts w:ascii="Arial" w:eastAsia="Arial" w:hAnsi="Arial"/>
      <w:sz w:val="20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  <w:rPr>
      <w:rFonts w:ascii="Arial" w:eastAsia="Arial" w:hAnsi="Arial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Arial" w:eastAsia="Arial" w:hAnsi="Arial" w:asciiTheme="majorHAnsi" w:cstheme="majorBidi" w:eastAsiaTheme="majorEastAsia" w:hAnsiTheme="majorHAnsi"/>
      <w:b w:val="1"/>
      <w:bCs w:val="1"/>
      <w:color w:val="365f91" w:themeColor="accent1" w:themeShade="0000BF"/>
      <w:sz w:val="20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Arial" w:eastAsia="Arial" w:hAnsi="Arial" w:asciiTheme="majorHAnsi" w:cstheme="majorBidi" w:eastAsiaTheme="majorEastAsia" w:hAnsiTheme="majorHAnsi"/>
      <w:b w:val="1"/>
      <w:bCs w:val="1"/>
      <w:color w:val="4f81bd" w:themeColor="accen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Arial" w:eastAsia="Arial" w:hAnsi="Arial" w:asciiTheme="majorHAnsi" w:cstheme="majorBidi" w:eastAsiaTheme="majorEastAsia" w:hAnsiTheme="majorHAnsi"/>
      <w:b w:val="1"/>
      <w:bCs w:val="1"/>
      <w:color w:val="4f81bd" w:themeColor="accent1"/>
      <w:sz w:val="2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Arial" w:eastAsia="Arial" w:hAnsi="Arial" w:asciiTheme="majorHAnsi" w:cstheme="majorBidi" w:eastAsiaTheme="majorEastAsia" w:hAnsiTheme="majorHAnsi"/>
      <w:color w:val="17365d" w:themeColor="text2" w:themeShade="0000BF"/>
      <w:spacing w:val="5"/>
      <w:kern w:val="28"/>
      <w:sz w:val="20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Arial" w:eastAsia="Arial" w:hAnsi="Arial" w:asciiTheme="majorHAnsi" w:cstheme="majorBidi" w:eastAsiaTheme="majorEastAsia" w:hAnsiTheme="majorHAnsi"/>
      <w:i w:val="1"/>
      <w:iCs w:val="1"/>
      <w:color w:val="4f81bd" w:themeColor="accent1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  <w:rPr>
      <w:rFonts w:ascii="Arial" w:eastAsia="Arial" w:hAnsi="Arial"/>
      <w:sz w:val="20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  <w:rPr>
      <w:rFonts w:ascii="Arial" w:eastAsia="Arial" w:hAnsi="Arial"/>
      <w:sz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  <w:rPr>
      <w:rFonts w:ascii="Arial" w:eastAsia="Arial" w:hAnsi="Arial"/>
      <w:sz w:val="20"/>
    </w:r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  <w:rPr>
      <w:rFonts w:ascii="Arial" w:eastAsia="Arial" w:hAnsi="Arial"/>
      <w:sz w:val="20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  <w:rPr>
      <w:rFonts w:ascii="Arial" w:eastAsia="Arial" w:hAnsi="Arial"/>
      <w:sz w:val="20"/>
    </w:rPr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Arial" w:eastAsia="Arial" w:hAnsi="Arial"/>
      <w:sz w:val="20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Arial" w:eastAsia="Arial" w:hAnsi="Arial"/>
      <w:sz w:val="20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  <w:rPr>
      <w:rFonts w:ascii="Arial" w:eastAsia="Arial" w:hAnsi="Arial"/>
      <w:sz w:val="20"/>
    </w:r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  <w:rPr>
      <w:rFonts w:ascii="Arial" w:eastAsia="Arial" w:hAnsi="Arial"/>
      <w:sz w:val="20"/>
    </w:r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  <w:rPr>
      <w:rFonts w:ascii="Arial" w:eastAsia="Arial" w:hAnsi="Arial"/>
      <w:sz w:val="20"/>
    </w:r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eastAsia="Arial" w:hAnsi="Arial"/>
      <w:sz w:val="2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eastAsia="Arial" w:hAnsi="Arial"/>
      <w:sz w:val="20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  <w:rPr>
      <w:rFonts w:ascii="Arial" w:eastAsia="Arial" w:hAnsi="Arial"/>
      <w:sz w:val="20"/>
    </w:r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rial" w:eastAsia="Arial" w:hAnsi="Arial"/>
      <w:sz w:val="20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  <w:rPr>
      <w:rFonts w:ascii="Arial" w:eastAsia="Arial" w:hAnsi="Arial"/>
      <w:sz w:val="20"/>
    </w:r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  <w:rPr>
      <w:rFonts w:ascii="Arial" w:eastAsia="Arial" w:hAnsi="Arial"/>
      <w:sz w:val="20"/>
    </w:r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  <w:rPr>
      <w:rFonts w:ascii="Arial" w:eastAsia="Arial" w:hAnsi="Arial"/>
      <w:sz w:val="20"/>
    </w:r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  <w:rPr>
      <w:rFonts w:ascii="Arial" w:eastAsia="Arial" w:hAnsi="Arial"/>
      <w:sz w:val="20"/>
    </w:r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  <w:rPr>
      <w:rFonts w:ascii="Arial" w:eastAsia="Arial" w:hAnsi="Arial"/>
      <w:sz w:val="20"/>
    </w:r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Arial" w:eastAsia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Arial" w:eastAsia="Arial" w:hAnsi="Arial"/>
      <w:i w:val="1"/>
      <w:iCs w:val="1"/>
      <w:color w:val="000000" w:themeColor="text1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Arial" w:eastAsia="Arial" w:hAnsi="Arial"/>
      <w:i w:val="1"/>
      <w:iCs w:val="1"/>
      <w:color w:val="000000" w:themeColor="text1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color w:val="243f60" w:themeColor="accent1" w:themeShade="00007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i w:val="1"/>
      <w:iCs w:val="1"/>
      <w:color w:val="243f60" w:themeColor="accent1" w:themeShade="0000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i w:val="1"/>
      <w:iCs w:val="1"/>
      <w:color w:val="404040" w:themeColor="text1" w:themeTint="0000B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Arial" w:eastAsia="Arial" w:hAnsi="Arial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Arial" w:eastAsia="Arial" w:hAnsi="Arial"/>
      <w:b w:val="1"/>
      <w:bCs w:val="1"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Arial" w:eastAsia="Arial" w:hAnsi="Arial"/>
      <w:b w:val="1"/>
      <w:bCs w:val="1"/>
      <w:sz w:val="20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Arial" w:eastAsia="Arial" w:hAnsi="Arial"/>
      <w:i w:val="1"/>
      <w:iCs w:val="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Arial" w:eastAsia="Arial" w:hAnsi="Arial"/>
      <w:b w:val="1"/>
      <w:bCs w:val="1"/>
      <w:i w:val="1"/>
      <w:iCs w:val="1"/>
      <w:color w:val="4f81bd" w:themeColor="accent1"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Arial" w:eastAsia="Arial" w:hAnsi="Arial"/>
      <w:b w:val="1"/>
      <w:bCs w:val="1"/>
      <w:i w:val="1"/>
      <w:iCs w:val="1"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Arial" w:eastAsia="Arial" w:hAnsi="Arial"/>
      <w:i w:val="1"/>
      <w:iCs w:val="1"/>
      <w:color w:val="808080" w:themeColor="text1" w:themeTint="00007F"/>
      <w:sz w:val="20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Arial" w:eastAsia="Arial" w:hAnsi="Arial"/>
      <w:b w:val="1"/>
      <w:bCs w:val="1"/>
      <w:i w:val="1"/>
      <w:iCs w:val="1"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Arial" w:eastAsia="Arial" w:hAnsi="Arial"/>
      <w:smallCaps w:val="1"/>
      <w:color w:val="c0504d" w:themeColor="accent2"/>
      <w:sz w:val="2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Arial" w:eastAsia="Arial" w:hAnsi="Arial"/>
      <w:b w:val="1"/>
      <w:bCs w:val="1"/>
      <w:smallCaps w:val="1"/>
      <w:color w:val="c0504d" w:themeColor="accent2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Arial" w:eastAsia="Arial" w:hAnsi="Arial"/>
      <w:b w:val="1"/>
      <w:bCs w:val="1"/>
      <w:smallCaps w:val="1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>
      <w:rFonts w:ascii="Arial" w:eastAsia="Arial" w:hAnsi="Arial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Arial" w:hAnsi="Arial"/>
      <w:sz w:val="2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000000" w:themeColor="text1" w:themeShade="0000BF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365f91" w:themeColor="accent1" w:themeShade="0000BF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943634" w:themeColor="accent2" w:themeShade="0000BF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76923c" w:themeColor="accent3" w:themeShade="0000BF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5f497a" w:themeColor="accent4" w:themeShade="0000BF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31849b" w:themeColor="accent5" w:themeShade="0000BF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e36c0a" w:themeColor="accent6" w:themeShade="0000BF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eastAsia="Arial" w:hAnsi="Arial" w:asciiTheme="majorHAnsi" w:cstheme="majorBidi" w:eastAsiaTheme="majorEastAsia" w:hAnsiTheme="majorHAnsi"/>
      <w:color w:val="000000" w:themeColor="text1"/>
      <w:sz w:val="2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6.png"/><Relationship Id="rId41" Type="http://schemas.openxmlformats.org/officeDocument/2006/relationships/image" Target="media/image4.png"/><Relationship Id="rId44" Type="http://schemas.openxmlformats.org/officeDocument/2006/relationships/image" Target="media/image11.png"/><Relationship Id="rId43" Type="http://schemas.openxmlformats.org/officeDocument/2006/relationships/image" Target="media/image16.png"/><Relationship Id="rId46" Type="http://schemas.openxmlformats.org/officeDocument/2006/relationships/image" Target="media/image18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5.png"/><Relationship Id="rId47" Type="http://schemas.openxmlformats.org/officeDocument/2006/relationships/image" Target="media/image22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45.png"/><Relationship Id="rId30" Type="http://schemas.openxmlformats.org/officeDocument/2006/relationships/image" Target="media/image23.png"/><Relationship Id="rId33" Type="http://schemas.openxmlformats.org/officeDocument/2006/relationships/image" Target="media/image7.png"/><Relationship Id="rId32" Type="http://schemas.openxmlformats.org/officeDocument/2006/relationships/image" Target="media/image10.png"/><Relationship Id="rId35" Type="http://schemas.openxmlformats.org/officeDocument/2006/relationships/image" Target="media/image9.png"/><Relationship Id="rId34" Type="http://schemas.openxmlformats.org/officeDocument/2006/relationships/image" Target="media/image25.png"/><Relationship Id="rId37" Type="http://schemas.openxmlformats.org/officeDocument/2006/relationships/image" Target="media/image28.png"/><Relationship Id="rId36" Type="http://schemas.openxmlformats.org/officeDocument/2006/relationships/image" Target="media/image19.png"/><Relationship Id="rId39" Type="http://schemas.openxmlformats.org/officeDocument/2006/relationships/image" Target="media/image33.png"/><Relationship Id="rId38" Type="http://schemas.openxmlformats.org/officeDocument/2006/relationships/image" Target="media/image26.png"/><Relationship Id="rId20" Type="http://schemas.openxmlformats.org/officeDocument/2006/relationships/image" Target="media/image44.png"/><Relationship Id="rId22" Type="http://schemas.openxmlformats.org/officeDocument/2006/relationships/image" Target="media/image39.png"/><Relationship Id="rId21" Type="http://schemas.openxmlformats.org/officeDocument/2006/relationships/image" Target="media/image46.png"/><Relationship Id="rId24" Type="http://schemas.openxmlformats.org/officeDocument/2006/relationships/image" Target="media/image40.png"/><Relationship Id="rId23" Type="http://schemas.openxmlformats.org/officeDocument/2006/relationships/image" Target="media/image32.png"/><Relationship Id="rId26" Type="http://schemas.openxmlformats.org/officeDocument/2006/relationships/image" Target="media/image36.png"/><Relationship Id="rId25" Type="http://schemas.openxmlformats.org/officeDocument/2006/relationships/image" Target="media/image48.png"/><Relationship Id="rId28" Type="http://schemas.openxmlformats.org/officeDocument/2006/relationships/image" Target="media/image41.png"/><Relationship Id="rId27" Type="http://schemas.openxmlformats.org/officeDocument/2006/relationships/image" Target="media/image47.png"/><Relationship Id="rId29" Type="http://schemas.openxmlformats.org/officeDocument/2006/relationships/image" Target="media/image15.png"/><Relationship Id="rId51" Type="http://schemas.openxmlformats.org/officeDocument/2006/relationships/image" Target="media/image8.png"/><Relationship Id="rId50" Type="http://schemas.openxmlformats.org/officeDocument/2006/relationships/image" Target="media/image12.png"/><Relationship Id="rId53" Type="http://schemas.openxmlformats.org/officeDocument/2006/relationships/image" Target="media/image13.png"/><Relationship Id="rId52" Type="http://schemas.openxmlformats.org/officeDocument/2006/relationships/image" Target="media/image14.png"/><Relationship Id="rId11" Type="http://schemas.openxmlformats.org/officeDocument/2006/relationships/image" Target="media/image27.png"/><Relationship Id="rId55" Type="http://schemas.openxmlformats.org/officeDocument/2006/relationships/image" Target="media/image49.png"/><Relationship Id="rId10" Type="http://schemas.openxmlformats.org/officeDocument/2006/relationships/image" Target="media/image34.png"/><Relationship Id="rId54" Type="http://schemas.openxmlformats.org/officeDocument/2006/relationships/image" Target="media/image30.png"/><Relationship Id="rId13" Type="http://schemas.openxmlformats.org/officeDocument/2006/relationships/image" Target="media/image20.png"/><Relationship Id="rId12" Type="http://schemas.openxmlformats.org/officeDocument/2006/relationships/image" Target="media/image42.png"/><Relationship Id="rId56" Type="http://schemas.openxmlformats.org/officeDocument/2006/relationships/image" Target="media/image3.png"/><Relationship Id="rId15" Type="http://schemas.openxmlformats.org/officeDocument/2006/relationships/image" Target="media/image29.png"/><Relationship Id="rId14" Type="http://schemas.openxmlformats.org/officeDocument/2006/relationships/image" Target="media/image21.png"/><Relationship Id="rId17" Type="http://schemas.openxmlformats.org/officeDocument/2006/relationships/image" Target="media/image35.png"/><Relationship Id="rId16" Type="http://schemas.openxmlformats.org/officeDocument/2006/relationships/image" Target="media/image24.png"/><Relationship Id="rId19" Type="http://schemas.openxmlformats.org/officeDocument/2006/relationships/image" Target="media/image43.png"/><Relationship Id="rId18" Type="http://schemas.openxmlformats.org/officeDocument/2006/relationships/image" Target="media/image3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hWZAyo0c9n8STWwoq4cMYflC/g==">CgMxLjA4AHIhMThNaDdNU0lUUkpBVFJyNkFIWHNxZm5FeXNaVnNxc0JJ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