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90533" w14:textId="77777777" w:rsidR="00AC768B" w:rsidRPr="00AC768B" w:rsidRDefault="00AC768B" w:rsidP="00AC768B">
      <w:pPr>
        <w:rPr>
          <w:rFonts w:asciiTheme="majorHAnsi" w:hAnsiTheme="majorHAnsi"/>
          <w:b/>
          <w:bCs/>
          <w:sz w:val="24"/>
          <w:szCs w:val="24"/>
        </w:rPr>
      </w:pPr>
      <w:r w:rsidRPr="00AC768B">
        <w:rPr>
          <w:rFonts w:asciiTheme="majorHAnsi" w:hAnsiTheme="majorHAnsi"/>
          <w:b/>
          <w:bCs/>
          <w:sz w:val="24"/>
          <w:szCs w:val="24"/>
        </w:rPr>
        <w:t>1. Adoption of a Secure Coding Standard and Avoiding “Security at the End”</w:t>
      </w:r>
    </w:p>
    <w:p w14:paraId="0F195DAE" w14:textId="77777777" w:rsidR="00AC768B" w:rsidRPr="00AC768B" w:rsidRDefault="00AC768B" w:rsidP="00AC768B">
      <w:pPr>
        <w:rPr>
          <w:rFonts w:asciiTheme="majorHAnsi" w:hAnsiTheme="majorHAnsi"/>
          <w:sz w:val="24"/>
          <w:szCs w:val="24"/>
        </w:rPr>
      </w:pPr>
      <w:r w:rsidRPr="00AC768B">
        <w:rPr>
          <w:rFonts w:asciiTheme="majorHAnsi" w:hAnsiTheme="majorHAnsi"/>
          <w:b/>
          <w:bCs/>
          <w:sz w:val="24"/>
          <w:szCs w:val="24"/>
        </w:rPr>
        <w:t>Overview:</w:t>
      </w:r>
      <w:r w:rsidRPr="00AC768B">
        <w:rPr>
          <w:rFonts w:asciiTheme="majorHAnsi" w:hAnsiTheme="majorHAnsi"/>
          <w:sz w:val="24"/>
          <w:szCs w:val="24"/>
        </w:rPr>
        <w:br/>
        <w:t>Embedding security into every phase of development is paramount. Relying solely on end-of-cycle security reviews or “security as an afterthought” often leads to vulnerabilities that are far more difficult and expensive to fix later.</w:t>
      </w:r>
    </w:p>
    <w:p w14:paraId="5B2BA21E" w14:textId="77777777" w:rsidR="00AC768B" w:rsidRPr="00AC768B" w:rsidRDefault="00AC768B" w:rsidP="00AC768B">
      <w:pPr>
        <w:rPr>
          <w:rFonts w:asciiTheme="majorHAnsi" w:hAnsiTheme="majorHAnsi"/>
          <w:sz w:val="24"/>
          <w:szCs w:val="24"/>
        </w:rPr>
      </w:pPr>
      <w:r w:rsidRPr="00AC768B">
        <w:rPr>
          <w:rFonts w:asciiTheme="majorHAnsi" w:hAnsiTheme="majorHAnsi"/>
          <w:b/>
          <w:bCs/>
          <w:sz w:val="24"/>
          <w:szCs w:val="24"/>
        </w:rPr>
        <w:t>Key Considerations:</w:t>
      </w:r>
    </w:p>
    <w:p w14:paraId="33F744CC" w14:textId="77777777" w:rsidR="00AC768B" w:rsidRPr="00AC768B" w:rsidRDefault="00AC768B" w:rsidP="00AC768B">
      <w:pPr>
        <w:numPr>
          <w:ilvl w:val="0"/>
          <w:numId w:val="1"/>
        </w:numPr>
        <w:rPr>
          <w:rFonts w:asciiTheme="majorHAnsi" w:hAnsiTheme="majorHAnsi"/>
          <w:sz w:val="24"/>
          <w:szCs w:val="24"/>
        </w:rPr>
      </w:pPr>
      <w:r w:rsidRPr="00AC768B">
        <w:rPr>
          <w:rFonts w:asciiTheme="majorHAnsi" w:hAnsiTheme="majorHAnsi"/>
          <w:b/>
          <w:bCs/>
          <w:sz w:val="24"/>
          <w:szCs w:val="24"/>
        </w:rPr>
        <w:t>Proactive Security Measures:</w:t>
      </w:r>
      <w:r w:rsidRPr="00AC768B">
        <w:rPr>
          <w:rFonts w:asciiTheme="majorHAnsi" w:hAnsiTheme="majorHAnsi"/>
          <w:sz w:val="24"/>
          <w:szCs w:val="24"/>
        </w:rPr>
        <w:br/>
        <w:t>Adopting a secure coding standard means developers adhere to best practices from the design phase onward. This approach reduces the risk of introducing vulnerabilities during development, testing, and deployment.</w:t>
      </w:r>
    </w:p>
    <w:p w14:paraId="30170F2A" w14:textId="77777777" w:rsidR="00AC768B" w:rsidRPr="00AC768B" w:rsidRDefault="00AC768B" w:rsidP="00AC768B">
      <w:pPr>
        <w:numPr>
          <w:ilvl w:val="0"/>
          <w:numId w:val="1"/>
        </w:numPr>
        <w:rPr>
          <w:rFonts w:asciiTheme="majorHAnsi" w:hAnsiTheme="majorHAnsi"/>
          <w:sz w:val="24"/>
          <w:szCs w:val="24"/>
        </w:rPr>
      </w:pPr>
      <w:r w:rsidRPr="00AC768B">
        <w:rPr>
          <w:rFonts w:asciiTheme="majorHAnsi" w:hAnsiTheme="majorHAnsi"/>
          <w:b/>
          <w:bCs/>
          <w:sz w:val="24"/>
          <w:szCs w:val="24"/>
        </w:rPr>
        <w:t>Shift-Left Strategy:</w:t>
      </w:r>
      <w:r w:rsidRPr="00AC768B">
        <w:rPr>
          <w:rFonts w:asciiTheme="majorHAnsi" w:hAnsiTheme="majorHAnsi"/>
          <w:sz w:val="24"/>
          <w:szCs w:val="24"/>
        </w:rPr>
        <w:br/>
        <w:t>Integrating security early (often called “shifting left”) ensures that potential threats are identified and mitigated before the product reaches production. This results in a lower overall cost of remediation and a more resilient product.</w:t>
      </w:r>
    </w:p>
    <w:p w14:paraId="7FAD9BEA" w14:textId="77777777" w:rsidR="00AC768B" w:rsidRPr="00AC768B" w:rsidRDefault="00AC768B" w:rsidP="00AC768B">
      <w:pPr>
        <w:numPr>
          <w:ilvl w:val="0"/>
          <w:numId w:val="1"/>
        </w:numPr>
        <w:rPr>
          <w:rFonts w:asciiTheme="majorHAnsi" w:hAnsiTheme="majorHAnsi"/>
          <w:sz w:val="24"/>
          <w:szCs w:val="24"/>
        </w:rPr>
      </w:pPr>
      <w:r w:rsidRPr="00AC768B">
        <w:rPr>
          <w:rFonts w:asciiTheme="majorHAnsi" w:hAnsiTheme="majorHAnsi"/>
          <w:b/>
          <w:bCs/>
          <w:sz w:val="24"/>
          <w:szCs w:val="24"/>
        </w:rPr>
        <w:t>Continuous Training and Improvement:</w:t>
      </w:r>
      <w:r w:rsidRPr="00AC768B">
        <w:rPr>
          <w:rFonts w:asciiTheme="majorHAnsi" w:hAnsiTheme="majorHAnsi"/>
          <w:sz w:val="24"/>
          <w:szCs w:val="24"/>
        </w:rPr>
        <w:br/>
        <w:t>Developers must be regularly trained on current secure coding practices and emerging threats. Regular code reviews and automated scanning tools can help enforce standards consistently.</w:t>
      </w:r>
    </w:p>
    <w:p w14:paraId="42436229" w14:textId="277A2470" w:rsidR="00AC768B" w:rsidRPr="00AC768B" w:rsidRDefault="00AC768B" w:rsidP="00AC768B">
      <w:pPr>
        <w:rPr>
          <w:rFonts w:asciiTheme="majorHAnsi" w:hAnsiTheme="majorHAnsi"/>
          <w:sz w:val="24"/>
          <w:szCs w:val="24"/>
        </w:rPr>
      </w:pPr>
    </w:p>
    <w:p w14:paraId="2E198601" w14:textId="77777777" w:rsidR="00AC768B" w:rsidRPr="00AC768B" w:rsidRDefault="00AC768B" w:rsidP="00AC768B">
      <w:pPr>
        <w:rPr>
          <w:rFonts w:asciiTheme="majorHAnsi" w:hAnsiTheme="majorHAnsi"/>
          <w:b/>
          <w:bCs/>
          <w:sz w:val="24"/>
          <w:szCs w:val="24"/>
        </w:rPr>
      </w:pPr>
      <w:r w:rsidRPr="00AC768B">
        <w:rPr>
          <w:rFonts w:asciiTheme="majorHAnsi" w:hAnsiTheme="majorHAnsi"/>
          <w:b/>
          <w:bCs/>
          <w:sz w:val="24"/>
          <w:szCs w:val="24"/>
        </w:rPr>
        <w:t>2. Evaluation and Assessment of Risk and Cost-Benefit of Mitigation</w:t>
      </w:r>
    </w:p>
    <w:p w14:paraId="2436964D" w14:textId="77777777" w:rsidR="00AC768B" w:rsidRPr="00AC768B" w:rsidRDefault="00AC768B" w:rsidP="00AC768B">
      <w:pPr>
        <w:rPr>
          <w:rFonts w:asciiTheme="majorHAnsi" w:hAnsiTheme="majorHAnsi"/>
          <w:sz w:val="24"/>
          <w:szCs w:val="24"/>
        </w:rPr>
      </w:pPr>
      <w:r w:rsidRPr="00AC768B">
        <w:rPr>
          <w:rFonts w:asciiTheme="majorHAnsi" w:hAnsiTheme="majorHAnsi"/>
          <w:b/>
          <w:bCs/>
          <w:sz w:val="24"/>
          <w:szCs w:val="24"/>
        </w:rPr>
        <w:t>Overview:</w:t>
      </w:r>
      <w:r w:rsidRPr="00AC768B">
        <w:rPr>
          <w:rFonts w:asciiTheme="majorHAnsi" w:hAnsiTheme="majorHAnsi"/>
          <w:sz w:val="24"/>
          <w:szCs w:val="24"/>
        </w:rPr>
        <w:br/>
        <w:t>Risk evaluation and cost-benefit analysis are foundational to making informed security decisions. Every potential threat must be weighed against the cost and complexity of implementing the corresponding mitigation.</w:t>
      </w:r>
    </w:p>
    <w:p w14:paraId="5D30DBD1" w14:textId="77777777" w:rsidR="00AC768B" w:rsidRPr="00AC768B" w:rsidRDefault="00AC768B" w:rsidP="00AC768B">
      <w:pPr>
        <w:rPr>
          <w:rFonts w:asciiTheme="majorHAnsi" w:hAnsiTheme="majorHAnsi"/>
          <w:sz w:val="24"/>
          <w:szCs w:val="24"/>
        </w:rPr>
      </w:pPr>
      <w:r w:rsidRPr="00AC768B">
        <w:rPr>
          <w:rFonts w:asciiTheme="majorHAnsi" w:hAnsiTheme="majorHAnsi"/>
          <w:b/>
          <w:bCs/>
          <w:sz w:val="24"/>
          <w:szCs w:val="24"/>
        </w:rPr>
        <w:t>Key Considerations:</w:t>
      </w:r>
    </w:p>
    <w:p w14:paraId="366DC495" w14:textId="77777777" w:rsidR="00AC768B" w:rsidRPr="00AC768B" w:rsidRDefault="00AC768B" w:rsidP="00AC768B">
      <w:pPr>
        <w:numPr>
          <w:ilvl w:val="0"/>
          <w:numId w:val="2"/>
        </w:numPr>
        <w:rPr>
          <w:rFonts w:asciiTheme="majorHAnsi" w:hAnsiTheme="majorHAnsi"/>
          <w:sz w:val="24"/>
          <w:szCs w:val="24"/>
        </w:rPr>
      </w:pPr>
      <w:r w:rsidRPr="00AC768B">
        <w:rPr>
          <w:rFonts w:asciiTheme="majorHAnsi" w:hAnsiTheme="majorHAnsi"/>
          <w:b/>
          <w:bCs/>
          <w:sz w:val="24"/>
          <w:szCs w:val="24"/>
        </w:rPr>
        <w:t>Risk Assessment Frameworks:</w:t>
      </w:r>
      <w:r w:rsidRPr="00AC768B">
        <w:rPr>
          <w:rFonts w:asciiTheme="majorHAnsi" w:hAnsiTheme="majorHAnsi"/>
          <w:sz w:val="24"/>
          <w:szCs w:val="24"/>
        </w:rPr>
        <w:br/>
        <w:t>Implement frameworks such as NIST, ISO 27001, or OWASP to identify, assess, and prioritize risks. These frameworks help quantify potential impacts and set priorities for action.</w:t>
      </w:r>
    </w:p>
    <w:p w14:paraId="2C1B51EF" w14:textId="77777777" w:rsidR="00AC768B" w:rsidRPr="00AC768B" w:rsidRDefault="00AC768B" w:rsidP="00AC768B">
      <w:pPr>
        <w:numPr>
          <w:ilvl w:val="0"/>
          <w:numId w:val="2"/>
        </w:numPr>
        <w:rPr>
          <w:rFonts w:asciiTheme="majorHAnsi" w:hAnsiTheme="majorHAnsi"/>
          <w:sz w:val="24"/>
          <w:szCs w:val="24"/>
        </w:rPr>
      </w:pPr>
      <w:r w:rsidRPr="00AC768B">
        <w:rPr>
          <w:rFonts w:asciiTheme="majorHAnsi" w:hAnsiTheme="majorHAnsi"/>
          <w:b/>
          <w:bCs/>
          <w:sz w:val="24"/>
          <w:szCs w:val="24"/>
        </w:rPr>
        <w:t>Cost-Benefit Analysis:</w:t>
      </w:r>
      <w:r w:rsidRPr="00AC768B">
        <w:rPr>
          <w:rFonts w:asciiTheme="majorHAnsi" w:hAnsiTheme="majorHAnsi"/>
          <w:sz w:val="24"/>
          <w:szCs w:val="24"/>
        </w:rPr>
        <w:br/>
        <w:t>Not every risk can be eliminated. It’s important to evaluate the costs of mitigation strategies against the expected reduction in risk. This analysis informs which security measures yield the highest return on investment, balancing protection with resource allocation.</w:t>
      </w:r>
    </w:p>
    <w:p w14:paraId="2F231471" w14:textId="77777777" w:rsidR="00AC768B" w:rsidRPr="00AC768B" w:rsidRDefault="00AC768B" w:rsidP="00AC768B">
      <w:pPr>
        <w:numPr>
          <w:ilvl w:val="0"/>
          <w:numId w:val="2"/>
        </w:numPr>
        <w:rPr>
          <w:rFonts w:asciiTheme="majorHAnsi" w:hAnsiTheme="majorHAnsi"/>
          <w:sz w:val="24"/>
          <w:szCs w:val="24"/>
        </w:rPr>
      </w:pPr>
      <w:r w:rsidRPr="00AC768B">
        <w:rPr>
          <w:rFonts w:asciiTheme="majorHAnsi" w:hAnsiTheme="majorHAnsi"/>
          <w:b/>
          <w:bCs/>
          <w:sz w:val="24"/>
          <w:szCs w:val="24"/>
        </w:rPr>
        <w:lastRenderedPageBreak/>
        <w:t>Dynamic Evaluation:</w:t>
      </w:r>
      <w:r w:rsidRPr="00AC768B">
        <w:rPr>
          <w:rFonts w:asciiTheme="majorHAnsi" w:hAnsiTheme="majorHAnsi"/>
          <w:sz w:val="24"/>
          <w:szCs w:val="24"/>
        </w:rPr>
        <w:br/>
        <w:t>The threat landscape is continually evolving. Regular reviews and updates of risk assessments are necessary to ensure that mitigation strategies remain effective over time.</w:t>
      </w:r>
    </w:p>
    <w:p w14:paraId="6FD40BFD" w14:textId="6168765A" w:rsidR="00AC768B" w:rsidRPr="00AC768B" w:rsidRDefault="00AC768B" w:rsidP="00AC768B">
      <w:pPr>
        <w:rPr>
          <w:rFonts w:asciiTheme="majorHAnsi" w:hAnsiTheme="majorHAnsi"/>
          <w:sz w:val="24"/>
          <w:szCs w:val="24"/>
        </w:rPr>
      </w:pPr>
    </w:p>
    <w:p w14:paraId="34DCDA0E" w14:textId="77777777" w:rsidR="00AC768B" w:rsidRPr="00AC768B" w:rsidRDefault="00AC768B" w:rsidP="00AC768B">
      <w:pPr>
        <w:rPr>
          <w:rFonts w:asciiTheme="majorHAnsi" w:hAnsiTheme="majorHAnsi"/>
          <w:b/>
          <w:bCs/>
          <w:sz w:val="24"/>
          <w:szCs w:val="24"/>
        </w:rPr>
      </w:pPr>
      <w:r w:rsidRPr="00AC768B">
        <w:rPr>
          <w:rFonts w:asciiTheme="majorHAnsi" w:hAnsiTheme="majorHAnsi"/>
          <w:b/>
          <w:bCs/>
          <w:sz w:val="24"/>
          <w:szCs w:val="24"/>
        </w:rPr>
        <w:t>3. Zero Trust</w:t>
      </w:r>
    </w:p>
    <w:p w14:paraId="17A6095B" w14:textId="77777777" w:rsidR="00AC768B" w:rsidRPr="00AC768B" w:rsidRDefault="00AC768B" w:rsidP="00AC768B">
      <w:pPr>
        <w:rPr>
          <w:rFonts w:asciiTheme="majorHAnsi" w:hAnsiTheme="majorHAnsi"/>
          <w:sz w:val="24"/>
          <w:szCs w:val="24"/>
        </w:rPr>
      </w:pPr>
      <w:r w:rsidRPr="00AC768B">
        <w:rPr>
          <w:rFonts w:asciiTheme="majorHAnsi" w:hAnsiTheme="majorHAnsi"/>
          <w:b/>
          <w:bCs/>
          <w:sz w:val="24"/>
          <w:szCs w:val="24"/>
        </w:rPr>
        <w:t>Overview:</w:t>
      </w:r>
      <w:r w:rsidRPr="00AC768B">
        <w:rPr>
          <w:rFonts w:asciiTheme="majorHAnsi" w:hAnsiTheme="majorHAnsi"/>
          <w:sz w:val="24"/>
          <w:szCs w:val="24"/>
        </w:rPr>
        <w:br/>
        <w:t>Zero trust is a security model based on the principle “never trust, always verify.” This model assumes that threats can come from both outside and inside the network, meaning that every access attempt must be thoroughly verified.</w:t>
      </w:r>
    </w:p>
    <w:p w14:paraId="57C1995C" w14:textId="77777777" w:rsidR="00AC768B" w:rsidRPr="00AC768B" w:rsidRDefault="00AC768B" w:rsidP="00AC768B">
      <w:pPr>
        <w:rPr>
          <w:rFonts w:asciiTheme="majorHAnsi" w:hAnsiTheme="majorHAnsi"/>
          <w:sz w:val="24"/>
          <w:szCs w:val="24"/>
        </w:rPr>
      </w:pPr>
      <w:r w:rsidRPr="00AC768B">
        <w:rPr>
          <w:rFonts w:asciiTheme="majorHAnsi" w:hAnsiTheme="majorHAnsi"/>
          <w:b/>
          <w:bCs/>
          <w:sz w:val="24"/>
          <w:szCs w:val="24"/>
        </w:rPr>
        <w:t>Key Considerations:</w:t>
      </w:r>
    </w:p>
    <w:p w14:paraId="39254C31" w14:textId="77777777" w:rsidR="00AC768B" w:rsidRPr="00AC768B" w:rsidRDefault="00AC768B" w:rsidP="00AC768B">
      <w:pPr>
        <w:numPr>
          <w:ilvl w:val="0"/>
          <w:numId w:val="3"/>
        </w:numPr>
        <w:rPr>
          <w:rFonts w:asciiTheme="majorHAnsi" w:hAnsiTheme="majorHAnsi"/>
          <w:sz w:val="24"/>
          <w:szCs w:val="24"/>
        </w:rPr>
      </w:pPr>
      <w:r w:rsidRPr="00AC768B">
        <w:rPr>
          <w:rFonts w:asciiTheme="majorHAnsi" w:hAnsiTheme="majorHAnsi"/>
          <w:b/>
          <w:bCs/>
          <w:sz w:val="24"/>
          <w:szCs w:val="24"/>
        </w:rPr>
        <w:t>Continuous Authentication and Authorization:</w:t>
      </w:r>
      <w:r w:rsidRPr="00AC768B">
        <w:rPr>
          <w:rFonts w:asciiTheme="majorHAnsi" w:hAnsiTheme="majorHAnsi"/>
          <w:sz w:val="24"/>
          <w:szCs w:val="24"/>
        </w:rPr>
        <w:br/>
        <w:t>Instead of providing broad, unrestricted access, zero trust limits access on a need-to-know basis. Every user and device must be authenticated and authorized continuously, reducing the risk of lateral movement within a network if a breach occurs.</w:t>
      </w:r>
    </w:p>
    <w:p w14:paraId="66E8D19C" w14:textId="77777777" w:rsidR="00AC768B" w:rsidRPr="00AC768B" w:rsidRDefault="00AC768B" w:rsidP="00AC768B">
      <w:pPr>
        <w:numPr>
          <w:ilvl w:val="0"/>
          <w:numId w:val="3"/>
        </w:numPr>
        <w:rPr>
          <w:rFonts w:asciiTheme="majorHAnsi" w:hAnsiTheme="majorHAnsi"/>
          <w:sz w:val="24"/>
          <w:szCs w:val="24"/>
        </w:rPr>
      </w:pPr>
      <w:r w:rsidRPr="00AC768B">
        <w:rPr>
          <w:rFonts w:asciiTheme="majorHAnsi" w:hAnsiTheme="majorHAnsi"/>
          <w:b/>
          <w:bCs/>
          <w:sz w:val="24"/>
          <w:szCs w:val="24"/>
        </w:rPr>
        <w:t>Micro-Segmentation:</w:t>
      </w:r>
      <w:r w:rsidRPr="00AC768B">
        <w:rPr>
          <w:rFonts w:asciiTheme="majorHAnsi" w:hAnsiTheme="majorHAnsi"/>
          <w:sz w:val="24"/>
          <w:szCs w:val="24"/>
        </w:rPr>
        <w:br/>
        <w:t>Network resources are divided into smaller segments, each with its own security controls. This segmentation limits the damage that any single compromised element can cause.</w:t>
      </w:r>
    </w:p>
    <w:p w14:paraId="0CBE3766" w14:textId="77777777" w:rsidR="00AC768B" w:rsidRPr="00AC768B" w:rsidRDefault="00AC768B" w:rsidP="00AC768B">
      <w:pPr>
        <w:numPr>
          <w:ilvl w:val="0"/>
          <w:numId w:val="3"/>
        </w:numPr>
        <w:rPr>
          <w:rFonts w:asciiTheme="majorHAnsi" w:hAnsiTheme="majorHAnsi"/>
          <w:sz w:val="24"/>
          <w:szCs w:val="24"/>
        </w:rPr>
      </w:pPr>
      <w:r w:rsidRPr="00AC768B">
        <w:rPr>
          <w:rFonts w:asciiTheme="majorHAnsi" w:hAnsiTheme="majorHAnsi"/>
          <w:b/>
          <w:bCs/>
          <w:sz w:val="24"/>
          <w:szCs w:val="24"/>
        </w:rPr>
        <w:t>Enhanced Monitoring:</w:t>
      </w:r>
      <w:r w:rsidRPr="00AC768B">
        <w:rPr>
          <w:rFonts w:asciiTheme="majorHAnsi" w:hAnsiTheme="majorHAnsi"/>
          <w:sz w:val="24"/>
          <w:szCs w:val="24"/>
        </w:rPr>
        <w:br/>
        <w:t>Zero trust requires robust logging, monitoring, and analytics to detect and respond to suspicious behavior in real time. This ongoing vigilance is crucial for early threat detection and response.</w:t>
      </w:r>
    </w:p>
    <w:p w14:paraId="786002D7" w14:textId="13D4AFC9" w:rsidR="00AC768B" w:rsidRPr="00AC768B" w:rsidRDefault="00AC768B" w:rsidP="00AC768B">
      <w:pPr>
        <w:rPr>
          <w:rFonts w:asciiTheme="majorHAnsi" w:hAnsiTheme="majorHAnsi"/>
          <w:sz w:val="24"/>
          <w:szCs w:val="24"/>
        </w:rPr>
      </w:pPr>
    </w:p>
    <w:p w14:paraId="1659FA8E" w14:textId="77777777" w:rsidR="00AC768B" w:rsidRPr="00AC768B" w:rsidRDefault="00AC768B" w:rsidP="00AC768B">
      <w:pPr>
        <w:rPr>
          <w:rFonts w:asciiTheme="majorHAnsi" w:hAnsiTheme="majorHAnsi"/>
          <w:b/>
          <w:bCs/>
          <w:sz w:val="24"/>
          <w:szCs w:val="24"/>
        </w:rPr>
      </w:pPr>
      <w:r w:rsidRPr="00AC768B">
        <w:rPr>
          <w:rFonts w:asciiTheme="majorHAnsi" w:hAnsiTheme="majorHAnsi"/>
          <w:b/>
          <w:bCs/>
          <w:sz w:val="24"/>
          <w:szCs w:val="24"/>
        </w:rPr>
        <w:t>4. Implementation and Recommendations of Security Policies</w:t>
      </w:r>
    </w:p>
    <w:p w14:paraId="14EDC439" w14:textId="77777777" w:rsidR="00AC768B" w:rsidRPr="00AC768B" w:rsidRDefault="00AC768B" w:rsidP="00AC768B">
      <w:pPr>
        <w:rPr>
          <w:rFonts w:asciiTheme="majorHAnsi" w:hAnsiTheme="majorHAnsi"/>
          <w:sz w:val="24"/>
          <w:szCs w:val="24"/>
        </w:rPr>
      </w:pPr>
      <w:r w:rsidRPr="00AC768B">
        <w:rPr>
          <w:rFonts w:asciiTheme="majorHAnsi" w:hAnsiTheme="majorHAnsi"/>
          <w:b/>
          <w:bCs/>
          <w:sz w:val="24"/>
          <w:szCs w:val="24"/>
        </w:rPr>
        <w:t>Overview:</w:t>
      </w:r>
      <w:r w:rsidRPr="00AC768B">
        <w:rPr>
          <w:rFonts w:asciiTheme="majorHAnsi" w:hAnsiTheme="majorHAnsi"/>
          <w:sz w:val="24"/>
          <w:szCs w:val="24"/>
        </w:rPr>
        <w:br/>
        <w:t>Effective security policies serve as the backbone of an organization’s cybersecurity strategy. They provide the guidelines and procedures necessary to safeguard information and systems.</w:t>
      </w:r>
    </w:p>
    <w:p w14:paraId="008D7FC0" w14:textId="77777777" w:rsidR="00AC768B" w:rsidRPr="00AC768B" w:rsidRDefault="00AC768B" w:rsidP="00AC768B">
      <w:pPr>
        <w:rPr>
          <w:rFonts w:asciiTheme="majorHAnsi" w:hAnsiTheme="majorHAnsi"/>
          <w:sz w:val="24"/>
          <w:szCs w:val="24"/>
        </w:rPr>
      </w:pPr>
      <w:r w:rsidRPr="00AC768B">
        <w:rPr>
          <w:rFonts w:asciiTheme="majorHAnsi" w:hAnsiTheme="majorHAnsi"/>
          <w:b/>
          <w:bCs/>
          <w:sz w:val="24"/>
          <w:szCs w:val="24"/>
        </w:rPr>
        <w:t>Key Considerations:</w:t>
      </w:r>
    </w:p>
    <w:p w14:paraId="4F6A8F56" w14:textId="77777777" w:rsidR="00AC768B" w:rsidRPr="00AC768B" w:rsidRDefault="00AC768B" w:rsidP="00AC768B">
      <w:pPr>
        <w:numPr>
          <w:ilvl w:val="0"/>
          <w:numId w:val="4"/>
        </w:numPr>
        <w:rPr>
          <w:rFonts w:asciiTheme="majorHAnsi" w:hAnsiTheme="majorHAnsi"/>
          <w:sz w:val="24"/>
          <w:szCs w:val="24"/>
        </w:rPr>
      </w:pPr>
      <w:r w:rsidRPr="00AC768B">
        <w:rPr>
          <w:rFonts w:asciiTheme="majorHAnsi" w:hAnsiTheme="majorHAnsi"/>
          <w:b/>
          <w:bCs/>
          <w:sz w:val="24"/>
          <w:szCs w:val="24"/>
        </w:rPr>
        <w:t>Policy Development:</w:t>
      </w:r>
      <w:r w:rsidRPr="00AC768B">
        <w:rPr>
          <w:rFonts w:asciiTheme="majorHAnsi" w:hAnsiTheme="majorHAnsi"/>
          <w:sz w:val="24"/>
          <w:szCs w:val="24"/>
        </w:rPr>
        <w:br/>
        <w:t>Security policies should be developed collaboratively across IT, security, legal, and business teams. This collaboration ensures that policies are comprehensive and align with business objectives as well as compliance requirements.</w:t>
      </w:r>
    </w:p>
    <w:p w14:paraId="4609C4FD" w14:textId="77777777" w:rsidR="00AC768B" w:rsidRPr="00AC768B" w:rsidRDefault="00AC768B" w:rsidP="00AC768B">
      <w:pPr>
        <w:numPr>
          <w:ilvl w:val="0"/>
          <w:numId w:val="4"/>
        </w:numPr>
        <w:rPr>
          <w:rFonts w:asciiTheme="majorHAnsi" w:hAnsiTheme="majorHAnsi"/>
          <w:sz w:val="24"/>
          <w:szCs w:val="24"/>
        </w:rPr>
      </w:pPr>
      <w:r w:rsidRPr="00AC768B">
        <w:rPr>
          <w:rFonts w:asciiTheme="majorHAnsi" w:hAnsiTheme="majorHAnsi"/>
          <w:b/>
          <w:bCs/>
          <w:sz w:val="24"/>
          <w:szCs w:val="24"/>
        </w:rPr>
        <w:t>Clear and Enforceable Guidelines:</w:t>
      </w:r>
      <w:r w:rsidRPr="00AC768B">
        <w:rPr>
          <w:rFonts w:asciiTheme="majorHAnsi" w:hAnsiTheme="majorHAnsi"/>
          <w:sz w:val="24"/>
          <w:szCs w:val="24"/>
        </w:rPr>
        <w:br/>
        <w:t xml:space="preserve">Policies must be clearly written and easily understood by all employees. They should </w:t>
      </w:r>
      <w:r w:rsidRPr="00AC768B">
        <w:rPr>
          <w:rFonts w:asciiTheme="majorHAnsi" w:hAnsiTheme="majorHAnsi"/>
          <w:sz w:val="24"/>
          <w:szCs w:val="24"/>
        </w:rPr>
        <w:lastRenderedPageBreak/>
        <w:t>detail specific procedures for secure coding, data handling, access controls, incident response, and more.</w:t>
      </w:r>
    </w:p>
    <w:p w14:paraId="7FD6EEAE" w14:textId="77777777" w:rsidR="00AC768B" w:rsidRPr="00AC768B" w:rsidRDefault="00AC768B" w:rsidP="00AC768B">
      <w:pPr>
        <w:numPr>
          <w:ilvl w:val="0"/>
          <w:numId w:val="4"/>
        </w:numPr>
        <w:rPr>
          <w:rFonts w:asciiTheme="majorHAnsi" w:hAnsiTheme="majorHAnsi"/>
          <w:sz w:val="24"/>
          <w:szCs w:val="24"/>
        </w:rPr>
      </w:pPr>
      <w:r w:rsidRPr="00AC768B">
        <w:rPr>
          <w:rFonts w:asciiTheme="majorHAnsi" w:hAnsiTheme="majorHAnsi"/>
          <w:b/>
          <w:bCs/>
          <w:sz w:val="24"/>
          <w:szCs w:val="24"/>
        </w:rPr>
        <w:t>Regular Reviews and Updates:</w:t>
      </w:r>
      <w:r w:rsidRPr="00AC768B">
        <w:rPr>
          <w:rFonts w:asciiTheme="majorHAnsi" w:hAnsiTheme="majorHAnsi"/>
          <w:sz w:val="24"/>
          <w:szCs w:val="24"/>
        </w:rPr>
        <w:br/>
        <w:t>Given the rapid pace of technological and threat evolution, security policies need to be dynamic. Regular audits and updates ensure that the policies remain relevant and effective.</w:t>
      </w:r>
    </w:p>
    <w:p w14:paraId="738F8211" w14:textId="77777777" w:rsidR="00AC768B" w:rsidRPr="00AC768B" w:rsidRDefault="00AC768B" w:rsidP="00AC768B">
      <w:pPr>
        <w:numPr>
          <w:ilvl w:val="0"/>
          <w:numId w:val="4"/>
        </w:numPr>
        <w:rPr>
          <w:rFonts w:asciiTheme="majorHAnsi" w:hAnsiTheme="majorHAnsi"/>
          <w:sz w:val="24"/>
          <w:szCs w:val="24"/>
        </w:rPr>
      </w:pPr>
      <w:r w:rsidRPr="00AC768B">
        <w:rPr>
          <w:rFonts w:asciiTheme="majorHAnsi" w:hAnsiTheme="majorHAnsi"/>
          <w:b/>
          <w:bCs/>
          <w:sz w:val="24"/>
          <w:szCs w:val="24"/>
        </w:rPr>
        <w:t>Employee Training and Awareness:</w:t>
      </w:r>
      <w:r w:rsidRPr="00AC768B">
        <w:rPr>
          <w:rFonts w:asciiTheme="majorHAnsi" w:hAnsiTheme="majorHAnsi"/>
          <w:sz w:val="24"/>
          <w:szCs w:val="24"/>
        </w:rPr>
        <w:br/>
        <w:t>Even the best policies are ineffective if not properly communicated. Ongoing training programs help ensure that employees understand their roles in upholding security protocols.</w:t>
      </w:r>
    </w:p>
    <w:p w14:paraId="637DC5ED" w14:textId="77777777" w:rsidR="00AC768B" w:rsidRPr="00AC768B" w:rsidRDefault="00AC768B" w:rsidP="00AC768B">
      <w:pPr>
        <w:numPr>
          <w:ilvl w:val="0"/>
          <w:numId w:val="4"/>
        </w:numPr>
        <w:rPr>
          <w:rFonts w:asciiTheme="majorHAnsi" w:hAnsiTheme="majorHAnsi"/>
          <w:sz w:val="24"/>
          <w:szCs w:val="24"/>
        </w:rPr>
      </w:pPr>
      <w:r w:rsidRPr="00AC768B">
        <w:rPr>
          <w:rFonts w:asciiTheme="majorHAnsi" w:hAnsiTheme="majorHAnsi"/>
          <w:b/>
          <w:bCs/>
          <w:sz w:val="24"/>
          <w:szCs w:val="24"/>
        </w:rPr>
        <w:t>Integration with Technology:</w:t>
      </w:r>
      <w:r w:rsidRPr="00AC768B">
        <w:rPr>
          <w:rFonts w:asciiTheme="majorHAnsi" w:hAnsiTheme="majorHAnsi"/>
          <w:sz w:val="24"/>
          <w:szCs w:val="24"/>
        </w:rPr>
        <w:br/>
        <w:t>Implement technical controls that enforce policy requirements, such as automated compliance checks, intrusion detection systems, and access management solutions.</w:t>
      </w:r>
    </w:p>
    <w:p w14:paraId="6B1F09C2" w14:textId="77777777" w:rsidR="00AC768B" w:rsidRPr="00AC768B" w:rsidRDefault="00AC768B" w:rsidP="00AC768B">
      <w:pPr>
        <w:numPr>
          <w:ilvl w:val="0"/>
          <w:numId w:val="4"/>
        </w:numPr>
        <w:rPr>
          <w:rFonts w:asciiTheme="majorHAnsi" w:hAnsiTheme="majorHAnsi"/>
          <w:sz w:val="24"/>
          <w:szCs w:val="24"/>
        </w:rPr>
      </w:pPr>
      <w:r w:rsidRPr="00AC768B">
        <w:rPr>
          <w:rFonts w:asciiTheme="majorHAnsi" w:hAnsiTheme="majorHAnsi"/>
          <w:b/>
          <w:bCs/>
          <w:sz w:val="24"/>
          <w:szCs w:val="24"/>
        </w:rPr>
        <w:t>Incident Response and Continuous Improvement:</w:t>
      </w:r>
      <w:r w:rsidRPr="00AC768B">
        <w:rPr>
          <w:rFonts w:asciiTheme="majorHAnsi" w:hAnsiTheme="majorHAnsi"/>
          <w:sz w:val="24"/>
          <w:szCs w:val="24"/>
        </w:rPr>
        <w:br/>
        <w:t>A well-defined incident response plan should be in place. Post-incident reviews and continuous improvement initiatives help refine security policies and adapt to new threats.</w:t>
      </w:r>
    </w:p>
    <w:p w14:paraId="36ECEA76" w14:textId="77777777" w:rsidR="001F2179" w:rsidRPr="00026706" w:rsidRDefault="001F2179">
      <w:pPr>
        <w:rPr>
          <w:rFonts w:asciiTheme="majorHAnsi" w:hAnsiTheme="majorHAnsi"/>
          <w:sz w:val="24"/>
          <w:szCs w:val="24"/>
        </w:rPr>
      </w:pPr>
    </w:p>
    <w:sectPr w:rsidR="001F2179" w:rsidRPr="00026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D6279"/>
    <w:multiLevelType w:val="multilevel"/>
    <w:tmpl w:val="0C1C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D011B"/>
    <w:multiLevelType w:val="multilevel"/>
    <w:tmpl w:val="0FDC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5316C"/>
    <w:multiLevelType w:val="multilevel"/>
    <w:tmpl w:val="5B36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3157E"/>
    <w:multiLevelType w:val="multilevel"/>
    <w:tmpl w:val="8654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485821">
    <w:abstractNumId w:val="2"/>
  </w:num>
  <w:num w:numId="2" w16cid:durableId="1632393895">
    <w:abstractNumId w:val="1"/>
  </w:num>
  <w:num w:numId="3" w16cid:durableId="1209948828">
    <w:abstractNumId w:val="0"/>
  </w:num>
  <w:num w:numId="4" w16cid:durableId="225186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06"/>
    <w:rsid w:val="00026706"/>
    <w:rsid w:val="001F2179"/>
    <w:rsid w:val="002936AD"/>
    <w:rsid w:val="00AC768B"/>
    <w:rsid w:val="00FF2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EA13"/>
  <w15:chartTrackingRefBased/>
  <w15:docId w15:val="{75DF6DFE-DD96-4564-B423-845A59FE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706"/>
    <w:rPr>
      <w:rFonts w:eastAsiaTheme="majorEastAsia" w:cstheme="majorBidi"/>
      <w:color w:val="272727" w:themeColor="text1" w:themeTint="D8"/>
    </w:rPr>
  </w:style>
  <w:style w:type="paragraph" w:styleId="Title">
    <w:name w:val="Title"/>
    <w:basedOn w:val="Normal"/>
    <w:next w:val="Normal"/>
    <w:link w:val="TitleChar"/>
    <w:uiPriority w:val="10"/>
    <w:qFormat/>
    <w:rsid w:val="00026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706"/>
    <w:pPr>
      <w:spacing w:before="160"/>
      <w:jc w:val="center"/>
    </w:pPr>
    <w:rPr>
      <w:i/>
      <w:iCs/>
      <w:color w:val="404040" w:themeColor="text1" w:themeTint="BF"/>
    </w:rPr>
  </w:style>
  <w:style w:type="character" w:customStyle="1" w:styleId="QuoteChar">
    <w:name w:val="Quote Char"/>
    <w:basedOn w:val="DefaultParagraphFont"/>
    <w:link w:val="Quote"/>
    <w:uiPriority w:val="29"/>
    <w:rsid w:val="00026706"/>
    <w:rPr>
      <w:i/>
      <w:iCs/>
      <w:color w:val="404040" w:themeColor="text1" w:themeTint="BF"/>
    </w:rPr>
  </w:style>
  <w:style w:type="paragraph" w:styleId="ListParagraph">
    <w:name w:val="List Paragraph"/>
    <w:basedOn w:val="Normal"/>
    <w:uiPriority w:val="34"/>
    <w:qFormat/>
    <w:rsid w:val="00026706"/>
    <w:pPr>
      <w:ind w:left="720"/>
      <w:contextualSpacing/>
    </w:pPr>
  </w:style>
  <w:style w:type="character" w:styleId="IntenseEmphasis">
    <w:name w:val="Intense Emphasis"/>
    <w:basedOn w:val="DefaultParagraphFont"/>
    <w:uiPriority w:val="21"/>
    <w:qFormat/>
    <w:rsid w:val="00026706"/>
    <w:rPr>
      <w:i/>
      <w:iCs/>
      <w:color w:val="0F4761" w:themeColor="accent1" w:themeShade="BF"/>
    </w:rPr>
  </w:style>
  <w:style w:type="paragraph" w:styleId="IntenseQuote">
    <w:name w:val="Intense Quote"/>
    <w:basedOn w:val="Normal"/>
    <w:next w:val="Normal"/>
    <w:link w:val="IntenseQuoteChar"/>
    <w:uiPriority w:val="30"/>
    <w:qFormat/>
    <w:rsid w:val="00026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706"/>
    <w:rPr>
      <w:i/>
      <w:iCs/>
      <w:color w:val="0F4761" w:themeColor="accent1" w:themeShade="BF"/>
    </w:rPr>
  </w:style>
  <w:style w:type="character" w:styleId="IntenseReference">
    <w:name w:val="Intense Reference"/>
    <w:basedOn w:val="DefaultParagraphFont"/>
    <w:uiPriority w:val="32"/>
    <w:qFormat/>
    <w:rsid w:val="000267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985918">
      <w:bodyDiv w:val="1"/>
      <w:marLeft w:val="0"/>
      <w:marRight w:val="0"/>
      <w:marTop w:val="0"/>
      <w:marBottom w:val="0"/>
      <w:divBdr>
        <w:top w:val="none" w:sz="0" w:space="0" w:color="auto"/>
        <w:left w:val="none" w:sz="0" w:space="0" w:color="auto"/>
        <w:bottom w:val="none" w:sz="0" w:space="0" w:color="auto"/>
        <w:right w:val="none" w:sz="0" w:space="0" w:color="auto"/>
      </w:divBdr>
    </w:div>
    <w:div w:id="190706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Israt Nahin Khan</dc:creator>
  <cp:keywords/>
  <dc:description/>
  <cp:lastModifiedBy>Israt Nahin Khan</cp:lastModifiedBy>
  <cp:revision>2</cp:revision>
  <dcterms:created xsi:type="dcterms:W3CDTF">2025-03-03T11:30:00Z</dcterms:created>
  <dcterms:modified xsi:type="dcterms:W3CDTF">2025-03-03T11:35:00Z</dcterms:modified>
</cp:coreProperties>
</file>