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Default Extension="png" ContentType="image/png"/>
  <Default Extension="jpg" ContentType="image/jpeg"/>
  <Default Extension="gif" ContentType="image/gif"/>
  <Default Extension="bmp" ContentType="image/bmp"/>
  <Default Extension="ttf" ContentType="application/x-font-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DISCIPLINARY POLICY AND PROCEDURE</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ZED-POL-HR-001</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disciplinary policy and procedure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Objective &amp; Code Adherence</w:t>
      </w:r>
    </w:p>
    <w:p>
      <w:r>
        <w:t>Zediant maintains a fair, transparent, and structured disciplinary procedure to address performance deficiencies, behavioral misconduct, information security policy violations, and breach of confidentiality obligations.</w:t>
      </w:r>
    </w:p>
    <w:p>
      <w:pPr>
        <w:pStyle w:val="Heading2"/>
      </w:pPr>
      <w:r>
        <w:t>3.2 Classification of Infractions</w:t>
      </w:r>
    </w:p>
    <w:p>
      <w:r>
        <w:t>Infractions are categorized into Minor (tardiness, attendance lapses), Moderate (unauthorized software installation, neglect of security procedures), and Gross Misconduct (data breach, sharing confidential credentials, theft of IP, harassment).</w:t>
      </w:r>
    </w:p>
    <w:p>
      <w:pPr>
        <w:pStyle w:val="Heading2"/>
      </w:pPr>
      <w:r>
        <w:t>3.3 Progressive Disciplinary Steps</w:t>
      </w:r>
    </w:p>
    <w:p>
      <w:r>
        <w:t>1. Formal Verbal Counseling</w:t>
        <w:br/>
        <w:t>2. Written Warning Letter issued by HR with remediation timeline</w:t>
        <w:br/>
        <w:t>3. Final Written Warning &amp; Performance Improvement Plan (PIP)</w:t>
        <w:br/>
        <w:t>4. Immediate Termination for Gross Misconduct without notice in accordance with Indian employment law.</w:t>
      </w:r>
    </w:p>
    <w:p>
      <w:pPr>
        <w:pStyle w:val="Heading2"/>
      </w:pPr>
      <w:r>
        <w:t>3.4 Appeals &amp; Documentation</w:t>
      </w:r>
    </w:p>
    <w:p>
      <w:r>
        <w:t>All disciplinary inquiries are documented in writing, recorded in HRMS (Zoho People), and maintain an independent appeal mechanism before the management committee.</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17" w:type="default"/>
      <w:headerReference xmlns:r="http://schemas.openxmlformats.org/officeDocument/2006/relationships" r:id="rId18" w:type="first"/>
      <w:footerReference xmlns:r="http://schemas.openxmlformats.org/officeDocument/2006/relationships" r:id="rId19" w:type="first"/>
      <w:footerReference xmlns:r="http://schemas.openxmlformats.org/officeDocument/2006/relationships" r:id="rId20"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7" Target="header1.xml" Type="http://schemas.openxmlformats.org/officeDocument/2006/relationships/header"/><Relationship Id="rId18" Target="header2.xml" Type="http://schemas.openxmlformats.org/officeDocument/2006/relationships/header"/><Relationship Id="rId19" Target="footer3.xml" Type="http://schemas.openxmlformats.org/officeDocument/2006/relationships/footer"/><Relationship Id="rId20"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