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Default Extension="jpg" ContentType="image/jpeg"/>
  <Default Extension="gif" ContentType="image/gif"/>
  <Default Extension="bmp" ContentType="image/bmp"/>
  <Default Extension="ttf" ContentType="application/x-font-ttf"/>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ZEDIANT TECHNOLOGIES PVT. LTD.</w:t>
        <w:br/>
        <w:t>REWARDS AND RECOGNITION POLICY</w:t>
      </w:r>
    </w:p>
    <w:tbl>
      <w:tblPr>
        <w:tblStyle w:val="TableGrid"/>
        <w:tblW w:type="auto" w:w="0"/>
        <w:tblLook w:firstColumn="1" w:firstRow="1" w:lastColumn="0" w:lastRow="0" w:noHBand="0" w:noVBand="1" w:val="04A0"/>
      </w:tblPr>
      <w:tblGrid>
        <w:gridCol w:w="4320"/>
        <w:gridCol w:w="4320"/>
      </w:tblGrid>
      <w:tr>
        <w:tc>
          <w:tcPr>
            <w:tcW w:type="dxa" w:w="4320"/>
          </w:tcPr>
          <w:p>
            <w:r>
              <w:rPr>
                <w:b/>
              </w:rPr>
              <w:t>Policy Document ID</w:t>
            </w:r>
          </w:p>
        </w:tc>
        <w:tc>
          <w:tcPr>
            <w:tcW w:type="dxa" w:w="4320"/>
          </w:tcPr>
          <w:p>
            <w:r>
              <w:t>ZED-POL-HR-003</w:t>
            </w:r>
          </w:p>
        </w:tc>
      </w:tr>
      <w:tr>
        <w:tc>
          <w:tcPr>
            <w:tcW w:type="dxa" w:w="4320"/>
          </w:tcPr>
          <w:p>
            <w:r>
              <w:rPr>
                <w:b/>
              </w:rPr>
              <w:t>Document Version</w:t>
            </w:r>
          </w:p>
        </w:tc>
        <w:tc>
          <w:tcPr>
            <w:tcW w:type="dxa" w:w="4320"/>
          </w:tcPr>
          <w:p>
            <w:r>
              <w:t>v2.0 (Renewal 2025-2026)</w:t>
            </w:r>
          </w:p>
        </w:tc>
      </w:tr>
      <w:tr>
        <w:tc>
          <w:tcPr>
            <w:tcW w:type="dxa" w:w="4320"/>
          </w:tcPr>
          <w:p>
            <w:r>
              <w:rPr>
                <w:b/>
              </w:rPr>
              <w:t>Effective Audit Period</w:t>
            </w:r>
          </w:p>
        </w:tc>
        <w:tc>
          <w:tcPr>
            <w:tcW w:type="dxa" w:w="4320"/>
          </w:tcPr>
          <w:p>
            <w:r>
              <w:t>October 1, 2025 – September 30, 2026</w:t>
            </w:r>
          </w:p>
        </w:tc>
      </w:tr>
      <w:tr>
        <w:tc>
          <w:tcPr>
            <w:tcW w:type="dxa" w:w="4320"/>
          </w:tcPr>
          <w:p>
            <w:r>
              <w:rPr>
                <w:b/>
              </w:rPr>
              <w:t>Last Review Date</w:t>
            </w:r>
          </w:p>
        </w:tc>
        <w:tc>
          <w:tcPr>
            <w:tcW w:type="dxa" w:w="4320"/>
          </w:tcPr>
          <w:p>
            <w:r>
              <w:t>October 1, 2025</w:t>
            </w:r>
          </w:p>
        </w:tc>
      </w:tr>
      <w:tr>
        <w:tc>
          <w:tcPr>
            <w:tcW w:type="dxa" w:w="4320"/>
          </w:tcPr>
          <w:p>
            <w:r>
              <w:rPr>
                <w:b/>
              </w:rPr>
              <w:t>Approved By</w:t>
            </w:r>
          </w:p>
        </w:tc>
        <w:tc>
          <w:tcPr>
            <w:tcW w:type="dxa" w:w="4320"/>
          </w:tcPr>
          <w:p>
            <w:r>
              <w:t>Chief Information Security Officer (CISO) &amp; Management</w:t>
            </w:r>
          </w:p>
        </w:tc>
      </w:tr>
      <w:tr>
        <w:tc>
          <w:tcPr>
            <w:tcW w:type="dxa" w:w="4320"/>
          </w:tcPr>
          <w:p>
            <w:r>
              <w:rPr>
                <w:b/>
              </w:rPr>
              <w:t>Classification</w:t>
            </w:r>
          </w:p>
        </w:tc>
        <w:tc>
          <w:tcPr>
            <w:tcW w:type="dxa" w:w="4320"/>
          </w:tcPr>
          <w:p>
            <w:r>
              <w:t>Confidential - Internal &amp; Auditor Access Only</w:t>
            </w:r>
          </w:p>
        </w:tc>
      </w:tr>
    </w:tbl>
    <w:p/>
    <w:p>
      <w:pPr>
        <w:pStyle w:val="Heading1"/>
      </w:pPr>
      <w:r>
        <w:t>1. Purpose</w:t>
      </w:r>
    </w:p>
    <w:p>
      <w:r>
        <w:t>This policy establishes the formal requirements, controls, and operating standards for rewards and recognition policy at Zediant Technologies Pvt. Ltd., aligned with AICPA SOC 2 Type 2 Trust Services Criteria.</w:t>
      </w:r>
    </w:p>
    <w:p>
      <w:pPr>
        <w:pStyle w:val="Heading1"/>
      </w:pPr>
      <w:r>
        <w:t>2. Scope</w:t>
      </w:r>
    </w:p>
    <w:p>
      <w:r>
        <w:t>This policy applies to all full-time employees, contractors, interns, vendors, infrastructure components, applications, and third-party systems operating within Zediant Technologies across the audit observation period.</w:t>
      </w:r>
    </w:p>
    <w:p>
      <w:pPr>
        <w:pStyle w:val="Heading1"/>
      </w:pPr>
      <w:r>
        <w:t>3. Policy Statements &amp; Operational Controls</w:t>
      </w:r>
    </w:p>
    <w:p>
      <w:pPr>
        <w:pStyle w:val="Heading2"/>
      </w:pPr>
      <w:r>
        <w:t>3.1 Purpose &amp; Framework</w:t>
      </w:r>
    </w:p>
    <w:p>
      <w:r>
        <w:t>To recognize and reward outstanding employee contributions, innovation, client excellence, and rigorous commitment to security and operational excellence.</w:t>
      </w:r>
    </w:p>
    <w:p>
      <w:pPr>
        <w:pStyle w:val="Heading2"/>
      </w:pPr>
      <w:r>
        <w:t>3.2 Recognition Categories</w:t>
      </w:r>
    </w:p>
    <w:p>
      <w:r>
        <w:t>• Spot Recognition (immediate peer/lead appreciation for exceptional milestones)</w:t>
        <w:br/>
        <w:t>• Quarterly Excellence Awards (Project delivery, technical innovation, customer satisfaction)</w:t>
        <w:br/>
        <w:t>• Annual Leadership &amp; Security Champion Awards (recognizing zero-incident leadership and proactive security culture)</w:t>
        <w:br/>
        <w:t>• Employee Referral Incentive Scheme.</w:t>
      </w:r>
    </w:p>
    <w:p>
      <w:pPr>
        <w:pStyle w:val="Heading2"/>
      </w:pPr>
      <w:r>
        <w:t>3.3 Evaluation Process</w:t>
      </w:r>
    </w:p>
    <w:p>
      <w:r>
        <w:t>Nominations are reviewed objectively by Department Leads and HR based on transparent performance metrics, peer feedback, and appraisal records in Zoho People.</w:t>
      </w:r>
    </w:p>
    <w:p>
      <w:pPr>
        <w:pStyle w:val="Heading2"/>
      </w:pPr>
      <w:r>
        <w:t>3.4 Disbursement</w:t>
      </w:r>
    </w:p>
    <w:p>
      <w:r>
        <w:t>Approved awards include financial bonuses, certificates of achievement, and priority nomination for technical certifications.</w:t>
      </w:r>
    </w:p>
    <w:p>
      <w:pPr>
        <w:pStyle w:val="Heading1"/>
      </w:pPr>
      <w:r>
        <w:t>4. Roles and Responsibilities</w:t>
      </w:r>
    </w:p>
    <w:p>
      <w:r>
        <w:t>• CISO / Information Security Lead: Responsible for policy enforcement, periodic audit compliance, and incident review.</w:t>
        <w:br/>
        <w:t>• Department Leads / HR: Responsible for operational implementation, employee awareness, and disciplinary handling.</w:t>
        <w:br/>
        <w:t>• All Staff: Mandatory adherence to this policy with documented annual sign-off.</w:t>
      </w:r>
    </w:p>
    <w:p>
      <w:pPr>
        <w:pStyle w:val="Heading1"/>
      </w:pPr>
      <w:r>
        <w:t>5. Annual Review &amp; Compliance Monitoring</w:t>
      </w:r>
    </w:p>
    <w:p>
      <w:r>
        <w:t>This policy is formally reviewed by executive leadership and the CISO at least annually, or upon significant architectural, operational, or legal changes. Violations are subject to disciplinary action up to and including termination of employment.</w:t>
      </w:r>
    </w:p>
    <w:sectPr w:rsidR="00FC693F" w:rsidRPr="0006063C" w:rsidSect="00034616">
      <w:headerReference xmlns:r="http://schemas.openxmlformats.org/officeDocument/2006/relationships" r:id="rId9" w:type="default"/>
      <w:headerReference xmlns:r="http://schemas.openxmlformats.org/officeDocument/2006/relationships" r:id="rId10" w:type="first"/>
      <w:footerReference xmlns:r="http://schemas.openxmlformats.org/officeDocument/2006/relationships" r:id="rId11" w:type="first"/>
      <w:footerReference xmlns:r="http://schemas.openxmlformats.org/officeDocument/2006/relationships" r:id="rId12" w:type="default"/>
      <w:pgSz w:w="12240" w:h="15840"/>
      <w:pgMar w:header="0" w:bottom="1440" w:left="851" w:right="1133" w:top="567" w:foo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arget="header1.xml" Type="http://schemas.openxmlformats.org/officeDocument/2006/relationships/header"/><Relationship Id="rId10" Target="header2.xml" Type="http://schemas.openxmlformats.org/officeDocument/2006/relationships/header"/><Relationship Id="rId11" Target="footer3.xml" Type="http://schemas.openxmlformats.org/officeDocument/2006/relationships/footer"/><Relationship Id="rId12" Target="footer4.xml" Type="http://schemas.openxmlformats.org/officeDocument/2006/relationships/footer"/></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