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jpg" ContentType="image/jpeg"/>
  <Default Extension="gif" ContentType="image/gif"/>
  <Default Extension="bmp" ContentType="image/bmp"/>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DATA USAGE AND ACCEPTABLE USE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ZED-POL-SEC-010</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data usage and acceptable use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Acceptable Use of Corporate Assets</w:t>
      </w:r>
    </w:p>
    <w:p>
      <w:r>
        <w:t>Zediant IT resources, networks, workstations, and cloud environments must be used exclusively for authorized business purposes. Personal use is strictly limited and must not compromise security.</w:t>
      </w:r>
    </w:p>
    <w:p>
      <w:pPr>
        <w:pStyle w:val="Heading2"/>
      </w:pPr>
      <w:r>
        <w:t>3.2 Data Handling by Classification</w:t>
      </w:r>
    </w:p>
    <w:p>
      <w:r>
        <w:t>Data classified as Confidential or Restricted (customer source code, PII, production credentials) must only be accessed on a strictly need-to-know basis and never transmitted over unencrypted public channels.</w:t>
      </w:r>
    </w:p>
    <w:p>
      <w:pPr>
        <w:pStyle w:val="Heading2"/>
      </w:pPr>
      <w:r>
        <w:t>3.3 Prohibition of Unauthorized Data Transfer</w:t>
      </w:r>
    </w:p>
    <w:p>
      <w:r>
        <w:t>Downloading or transferring customer or company data to personal email, personal cloud storage (Google Drive, Dropbox), or unauthorized third-party generative AI tools without CISO sign-off is prohibited.</w:t>
      </w:r>
    </w:p>
    <w:p>
      <w:pPr>
        <w:pStyle w:val="Heading2"/>
      </w:pPr>
      <w:r>
        <w:t>3.4 Clean Desk &amp; Clear Screen</w:t>
      </w:r>
    </w:p>
    <w:p>
      <w:r>
        <w:t>Screens must be locked when leaving workstations. Sensitive documents must be shredded or stored in locked cabinets.</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arget="header1.xml" Type="http://schemas.openxmlformats.org/officeDocument/2006/relationships/header"/><Relationship Id="rId10" Target="header2.xml" Type="http://schemas.openxmlformats.org/officeDocument/2006/relationships/header"/><Relationship Id="rId11" Target="footer3.xml" Type="http://schemas.openxmlformats.org/officeDocument/2006/relationships/footer"/><Relationship Id="rId12"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