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Default Extension="jpg" ContentType="image/jpeg"/>
  <Default Extension="gif" ContentType="image/gif"/>
  <Default Extension="bmp" ContentType="image/bmp"/>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ASSET MANAGEMENT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ZED-POL-IT-016</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asset management policy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Asset Inventory &amp; Identification</w:t>
      </w:r>
    </w:p>
    <w:p>
      <w:r>
        <w:t>All hardware assets (laptops, monitors, network equipment) and software assets (licenses, SaaS tools, cloud subscriptions) are tagged and logged in the centralized Asset Register.</w:t>
      </w:r>
    </w:p>
    <w:p>
      <w:pPr>
        <w:pStyle w:val="Heading2"/>
      </w:pPr>
      <w:r>
        <w:t>3.2 Asset Issuance &amp; Handover</w:t>
      </w:r>
    </w:p>
    <w:p>
      <w:r>
        <w:t>Every employee receives hardware via a signed Notebook PC Distribution Agreement acknowledging responsibility for custody, security, and care.</w:t>
      </w:r>
    </w:p>
    <w:p>
      <w:pPr>
        <w:pStyle w:val="Heading2"/>
      </w:pPr>
      <w:r>
        <w:t>3.3 Maintenance &amp; Asset Auditing</w:t>
      </w:r>
    </w:p>
    <w:p>
      <w:r>
        <w:t>Periodic physical and logical audits are performed bi-annually. Any lost, damaged, or stolen asset must be reported to IT and the CISO within 4 hours.</w:t>
      </w:r>
    </w:p>
    <w:p>
      <w:pPr>
        <w:pStyle w:val="Heading2"/>
      </w:pPr>
      <w:r>
        <w:t>3.4 Secure Disposal &amp; Decommissioning</w:t>
      </w:r>
    </w:p>
    <w:p>
      <w:r>
        <w:t>Storage media and end-of-life devices undergo secure cryptographic erasure (NIST SP 800-88 compliant) or physical destruction by certified e-waste vendors with documented destruction certificates.</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arget="header1.xml" Type="http://schemas.openxmlformats.org/officeDocument/2006/relationships/header"/><Relationship Id="rId10" Target="header2.xml" Type="http://schemas.openxmlformats.org/officeDocument/2006/relationships/header"/><Relationship Id="rId11" Target="footer3.xml" Type="http://schemas.openxmlformats.org/officeDocument/2006/relationships/footer"/><Relationship Id="rId12" Target="footer4.xml" Type="http://schemas.openxmlformats.org/officeDocument/2006/relationships/footer"/></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