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Default Extension="jpg" ContentType="image/jpeg"/>
  <Default Extension="gif" ContentType="image/gif"/>
  <Default Extension="bmp" ContentType="image/bmp"/>
  <Default Extension="ttf" ContentType="application/x-font-ttf"/>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ZEDIANT TECHNOLOGIES PVT. LTD.</w:t>
        <w:br/>
        <w:t>SOFTWARE INSTALLATION AND LICENSING POLICY</w:t>
      </w:r>
    </w:p>
    <w:tbl>
      <w:tblPr>
        <w:tblStyle w:val="TableGrid"/>
        <w:tblW w:type="auto" w:w="0"/>
        <w:tblLook w:firstColumn="1" w:firstRow="1" w:lastColumn="0" w:lastRow="0" w:noHBand="0" w:noVBand="1" w:val="04A0"/>
      </w:tblPr>
      <w:tblGrid>
        <w:gridCol w:w="4320"/>
        <w:gridCol w:w="4320"/>
      </w:tblGrid>
      <w:tr>
        <w:tc>
          <w:tcPr>
            <w:tcW w:type="dxa" w:w="4320"/>
          </w:tcPr>
          <w:p>
            <w:r>
              <w:rPr>
                <w:b/>
              </w:rPr>
              <w:t>Policy Document ID</w:t>
            </w:r>
          </w:p>
        </w:tc>
        <w:tc>
          <w:tcPr>
            <w:tcW w:type="dxa" w:w="4320"/>
          </w:tcPr>
          <w:p>
            <w:r>
              <w:t>ZED-POL-IT-026</w:t>
            </w:r>
          </w:p>
        </w:tc>
      </w:tr>
      <w:tr>
        <w:tc>
          <w:tcPr>
            <w:tcW w:type="dxa" w:w="4320"/>
          </w:tcPr>
          <w:p>
            <w:r>
              <w:rPr>
                <w:b/>
              </w:rPr>
              <w:t>Document Version</w:t>
            </w:r>
          </w:p>
        </w:tc>
        <w:tc>
          <w:tcPr>
            <w:tcW w:type="dxa" w:w="4320"/>
          </w:tcPr>
          <w:p>
            <w:r>
              <w:t>v2.0 (Renewal 2025-2026)</w:t>
            </w:r>
          </w:p>
        </w:tc>
      </w:tr>
      <w:tr>
        <w:tc>
          <w:tcPr>
            <w:tcW w:type="dxa" w:w="4320"/>
          </w:tcPr>
          <w:p>
            <w:r>
              <w:rPr>
                <w:b/>
              </w:rPr>
              <w:t>Effective Audit Period</w:t>
            </w:r>
          </w:p>
        </w:tc>
        <w:tc>
          <w:tcPr>
            <w:tcW w:type="dxa" w:w="4320"/>
          </w:tcPr>
          <w:p>
            <w:r>
              <w:t>October 1, 2025 – September 30, 2026</w:t>
            </w:r>
          </w:p>
        </w:tc>
      </w:tr>
      <w:tr>
        <w:tc>
          <w:tcPr>
            <w:tcW w:type="dxa" w:w="4320"/>
          </w:tcPr>
          <w:p>
            <w:r>
              <w:rPr>
                <w:b/>
              </w:rPr>
              <w:t>Last Review Date</w:t>
            </w:r>
          </w:p>
        </w:tc>
        <w:tc>
          <w:tcPr>
            <w:tcW w:type="dxa" w:w="4320"/>
          </w:tcPr>
          <w:p>
            <w:r>
              <w:t>October 1, 2025</w:t>
            </w:r>
          </w:p>
        </w:tc>
      </w:tr>
      <w:tr>
        <w:tc>
          <w:tcPr>
            <w:tcW w:type="dxa" w:w="4320"/>
          </w:tcPr>
          <w:p>
            <w:r>
              <w:rPr>
                <w:b/>
              </w:rPr>
              <w:t>Approved By</w:t>
            </w:r>
          </w:p>
        </w:tc>
        <w:tc>
          <w:tcPr>
            <w:tcW w:type="dxa" w:w="4320"/>
          </w:tcPr>
          <w:p>
            <w:r>
              <w:t>Chief Information Security Officer (CISO) &amp; Management</w:t>
            </w:r>
          </w:p>
        </w:tc>
      </w:tr>
      <w:tr>
        <w:tc>
          <w:tcPr>
            <w:tcW w:type="dxa" w:w="4320"/>
          </w:tcPr>
          <w:p>
            <w:r>
              <w:rPr>
                <w:b/>
              </w:rPr>
              <w:t>Classification</w:t>
            </w:r>
          </w:p>
        </w:tc>
        <w:tc>
          <w:tcPr>
            <w:tcW w:type="dxa" w:w="4320"/>
          </w:tcPr>
          <w:p>
            <w:r>
              <w:t>Confidential - Internal &amp; Auditor Access Only</w:t>
            </w:r>
          </w:p>
        </w:tc>
      </w:tr>
    </w:tbl>
    <w:p/>
    <w:p>
      <w:pPr>
        <w:pStyle w:val="Heading1"/>
      </w:pPr>
      <w:r>
        <w:t>1. Purpose</w:t>
      </w:r>
    </w:p>
    <w:p>
      <w:r>
        <w:t>This policy establishes the formal requirements, controls, and operating standards for software installation and licensing policy at Zediant Technologies Pvt. Ltd., aligned with AICPA SOC 2 Type 2 Trust Services Criteria.</w:t>
      </w:r>
    </w:p>
    <w:p>
      <w:pPr>
        <w:pStyle w:val="Heading1"/>
      </w:pPr>
      <w:r>
        <w:t>2. Scope</w:t>
      </w:r>
    </w:p>
    <w:p>
      <w:r>
        <w:t>This policy applies to all full-time employees, contractors, interns, vendors, infrastructure components, applications, and third-party systems operating within Zediant Technologies across the audit observation period.</w:t>
      </w:r>
    </w:p>
    <w:p>
      <w:pPr>
        <w:pStyle w:val="Heading1"/>
      </w:pPr>
      <w:r>
        <w:t>3. Policy Statements &amp; Operational Controls</w:t>
      </w:r>
    </w:p>
    <w:p>
      <w:pPr>
        <w:pStyle w:val="Heading2"/>
      </w:pPr>
      <w:r>
        <w:t>3.1 Administrative Privileges</w:t>
      </w:r>
    </w:p>
    <w:p>
      <w:r>
        <w:t>Employees do not have local administrator privileges on corporate workstations by default. All software installations require IT DevOps authorization.</w:t>
      </w:r>
    </w:p>
    <w:p>
      <w:pPr>
        <w:pStyle w:val="Heading2"/>
      </w:pPr>
      <w:r>
        <w:t>3.2 Whitelisted Software &amp; Licensing</w:t>
      </w:r>
    </w:p>
    <w:p>
      <w:r>
        <w:t>Only approved, legally licensed, and security-scanned software listed in the Approved Software Register may be deployed.</w:t>
      </w:r>
    </w:p>
    <w:p>
      <w:pPr>
        <w:pStyle w:val="Heading2"/>
      </w:pPr>
      <w:r>
        <w:t>3.3 Prohibition of Unlicensed or P2P Software</w:t>
      </w:r>
    </w:p>
    <w:p>
      <w:r>
        <w:t>Installation of cracked software, torrents, unauthorized VPN clients, or peer-to-peer file sharing applications is strictly prohibited and constitutes gross misconduct.</w:t>
      </w:r>
    </w:p>
    <w:p>
      <w:pPr>
        <w:pStyle w:val="Heading2"/>
      </w:pPr>
      <w:r>
        <w:t>3.4 Automated Monitoring</w:t>
      </w:r>
    </w:p>
    <w:p>
      <w:r>
        <w:t>Endpoint management tools monitor and flag unauthorized application installations continuously.</w:t>
      </w:r>
    </w:p>
    <w:p>
      <w:pPr>
        <w:pStyle w:val="Heading1"/>
      </w:pPr>
      <w:r>
        <w:t>4. Roles and Responsibilities</w:t>
      </w:r>
    </w:p>
    <w:p>
      <w:r>
        <w:t>• CISO / Information Security Lead: Responsible for policy enforcement, periodic audit compliance, and incident review.</w:t>
        <w:br/>
        <w:t>• Department Leads / HR: Responsible for operational implementation, employee awareness, and disciplinary handling.</w:t>
        <w:br/>
        <w:t>• All Staff: Mandatory adherence to this policy with documented annual sign-off.</w:t>
      </w:r>
    </w:p>
    <w:p>
      <w:pPr>
        <w:pStyle w:val="Heading1"/>
      </w:pPr>
      <w:r>
        <w:t>5. Annual Review &amp; Compliance Monitoring</w:t>
      </w:r>
    </w:p>
    <w:p>
      <w:r>
        <w:t>This policy is formally reviewed by executive leadership and the CISO at least annually, or upon significant architectural, operational, or legal changes. Violations are subject to disciplinary action up to and including termination of employment.</w:t>
      </w:r>
    </w:p>
    <w:sectPr w:rsidR="00FC693F" w:rsidRPr="0006063C" w:rsidSect="00034616">
      <w:headerReference xmlns:r="http://schemas.openxmlformats.org/officeDocument/2006/relationships" r:id="rId9" w:type="default"/>
      <w:headerReference xmlns:r="http://schemas.openxmlformats.org/officeDocument/2006/relationships" r:id="rId10" w:type="first"/>
      <w:footerReference xmlns:r="http://schemas.openxmlformats.org/officeDocument/2006/relationships" r:id="rId11" w:type="first"/>
      <w:footerReference xmlns:r="http://schemas.openxmlformats.org/officeDocument/2006/relationships" r:id="rId12" w:type="default"/>
      <w:pgSz w:w="12240" w:h="15840"/>
      <w:pgMar w:header="0" w:bottom="1440" w:left="851" w:right="1133" w:top="567" w:foo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arget="header1.xml" Type="http://schemas.openxmlformats.org/officeDocument/2006/relationships/header"/><Relationship Id="rId10" Target="header2.xml" Type="http://schemas.openxmlformats.org/officeDocument/2006/relationships/header"/><Relationship Id="rId11" Target="footer3.xml" Type="http://schemas.openxmlformats.org/officeDocument/2006/relationships/footer"/><Relationship Id="rId12" Target="footer4.xml" Type="http://schemas.openxmlformats.org/officeDocument/2006/relationships/footer"/></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