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jpg" ContentType="image/jpeg"/>
  <Default Extension="gif" ContentType="image/gif"/>
  <Default Extension="bmp" ContentType="image/bmp"/>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REMOTE WORKING AND TELEWORKING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ZED-POL-HR-039</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remote working and teleworking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Eligibility &amp; Agreement</w:t>
      </w:r>
    </w:p>
    <w:p>
      <w:r>
        <w:t>Remote working arrangements require formal management approval and a signed Remote Working Agreement outlining security obligations.</w:t>
      </w:r>
    </w:p>
    <w:p>
      <w:pPr>
        <w:pStyle w:val="Heading2"/>
      </w:pPr>
      <w:r>
        <w:t>3.2 Device &amp; Network Security</w:t>
      </w:r>
    </w:p>
    <w:p>
      <w:r>
        <w:t>Remote employees must connect exclusively via company-issued, encrypted laptops. All connections to production or client infrastructure must route through approved, encrypted corporate VPN with MFA.</w:t>
      </w:r>
    </w:p>
    <w:p>
      <w:pPr>
        <w:pStyle w:val="Heading2"/>
      </w:pPr>
      <w:r>
        <w:t>3.3 Public Wi-Fi Restrictions</w:t>
      </w:r>
    </w:p>
    <w:p>
      <w:r>
        <w:t>Connecting to unsecured, public Wi-Fi networks without an active, secured VPN tunnel is strictly prohibited.</w:t>
      </w:r>
    </w:p>
    <w:p>
      <w:pPr>
        <w:pStyle w:val="Heading2"/>
      </w:pPr>
      <w:r>
        <w:t>3.4 Physical Confidentiality at Home</w:t>
      </w:r>
    </w:p>
    <w:p>
      <w:r>
        <w:t>Employees must ensure family members or visitors cannot view client or corporate screens or access company devices.</w:t>
      </w:r>
    </w:p>
    <w:p>
      <w:pPr>
        <w:pStyle w:val="Heading2"/>
      </w:pPr>
      <w:r>
        <w:t>3.5 Loss &amp; Theft Reporting</w:t>
      </w:r>
    </w:p>
    <w:p>
      <w:r>
        <w:t>Loss or theft of any remote device must be reported to the CISO within 2 hours to initiate remote wipe capabilities.</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arget="header1.xml" Type="http://schemas.openxmlformats.org/officeDocument/2006/relationships/header"/><Relationship Id="rId10" Target="header2.xml" Type="http://schemas.openxmlformats.org/officeDocument/2006/relationships/header"/><Relationship Id="rId11" Target="footer3.xml" Type="http://schemas.openxmlformats.org/officeDocument/2006/relationships/footer"/><Relationship Id="rId12" Target="footer4.xml" Type="http://schemas.openxmlformats.org/officeDocument/2006/relationships/footer"/></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