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Extension="jpeg" ContentType="image/jpeg"/>
  <Default Extension="gif" ContentType="image/gif"/>
  <Default Extension="bmp" ContentType="image/bmp"/>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margin">
              <wp:posOffset>1828800</wp:posOffset>
            </wp:positionH>
            <wp:positionV relativeFrom="margin">
              <wp:posOffset>-1900</wp:posOffset>
            </wp:positionV>
            <wp:extent cx="2340000" cy="904800"/>
            <wp:effectExtent b="0" l="0" r="0" t="0"/>
            <wp:wrapSquare wrapText="bothSides" distB="0" distT="0" distL="114300" distR="114300"/>
            <wp:docPr id="5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40000" cy="904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Helvetica Neue" w:cs="Helvetica Neue" w:eastAsia="Helvetica Neue" w:hAnsi="Helvetica Neue"/>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i w:val="0"/>
          <w:smallCaps w:val="0"/>
          <w:strike w:val="0"/>
          <w:color w:val="000000"/>
          <w:sz w:val="24"/>
          <w:szCs w:val="24"/>
          <w:u w:val="none"/>
          <w:shd w:fill="auto" w:val="clear"/>
          <w:vertAlign w:val="baseline"/>
          <w:rtl w:val="0"/>
        </w:rPr>
        <w:br w:type="textWrapping"/>
      </w:r>
      <w:r w:rsidDel="00000000" w:rsidR="00000000" w:rsidRPr="00000000">
        <w:rPr>
          <w:rFonts w:ascii="Helvetica Neue" w:cs="Helvetica Neue" w:eastAsia="Helvetica Neue" w:hAnsi="Helvetica Neue"/>
          <w:sz w:val="20"/>
          <w:szCs w:val="20"/>
          <w:rtl w:val="0"/>
        </w:rPr>
        <w:t xml:space="preserve"> </w:t>
      </w:r>
      <w:r w:rsidDel="00000000" w:rsidR="00000000" w:rsidRPr="00000000">
        <w:rPr>
          <w:rtl w:val="0"/>
        </w:rPr>
      </w:r>
    </w:p>
    <w:p w:rsidR="00000000" w:rsidDel="00000000" w:rsidP="00000000" w:rsidRDefault="00000000" w:rsidRPr="00000000" w14:paraId="00000004">
      <w:pPr>
        <w:spacing w:after="240" w:before="240" w:line="239" w:lineRule="auto"/>
        <w:ind w:left="0" w:firstLine="0"/>
        <w:jc w:val="center"/>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CONFIDENTIALITY/NON-DISCLOSURE AGREEMENT</w:t>
      </w:r>
    </w:p>
    <w:p w:rsidR="00000000" w:rsidDel="00000000" w:rsidP="00000000" w:rsidRDefault="00000000" w:rsidRPr="00000000" w14:paraId="00000005">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Confidentiality/Mutual Non-Disclosure Agreement (this “Agreement”), is made on the 22nd day of February, 2025 (the “Effective Date”), by and between ZEDIANT Technologies Pvt. Ltd., having an office at 37, Pramanik Ghat Road, Kolkata 700036 (“ZEDIANT”), and Sanjay Bundella, located at RZ-13 'R' New Roshanpura Najafgarh New Delhi -110043 (the “Recipient”). </w:t>
      </w:r>
    </w:p>
    <w:p w:rsidR="00000000" w:rsidDel="00000000" w:rsidP="00000000" w:rsidRDefault="00000000" w:rsidRPr="00000000" w14:paraId="00000006">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7">
      <w:pPr>
        <w:spacing w:after="0" w:line="23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WITNESSETH </w:t>
      </w:r>
    </w:p>
    <w:p w:rsidR="00000000" w:rsidDel="00000000" w:rsidP="00000000" w:rsidRDefault="00000000" w:rsidRPr="00000000" w14:paraId="00000008">
      <w:pPr>
        <w:spacing w:after="0" w:line="239" w:lineRule="auto"/>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09">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WHEREAS the Recipient desires to receive from ZEDIANT certain Confidential Information (as defined herein) to have preliminary discussions concerning the desirability of partnering with ZEDIANT on a new business venture (a “Transaction”); and </w:t>
      </w:r>
    </w:p>
    <w:p w:rsidR="00000000" w:rsidDel="00000000" w:rsidP="00000000" w:rsidRDefault="00000000" w:rsidRPr="00000000" w14:paraId="0000000A">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B">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WHEREAS ZEDIANT desires to provide such confidential information to the recipient to discuss the potential transaction. </w:t>
      </w:r>
    </w:p>
    <w:p w:rsidR="00000000" w:rsidDel="00000000" w:rsidP="00000000" w:rsidRDefault="00000000" w:rsidRPr="00000000" w14:paraId="0000000C">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D">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NOW, THEREFORE, in consideration of the mutual promises in this Agreement and other good and valuable consideration, the receipt and adequacy of which is hereby acknowledged, and intending to be legally bound, the parties hereto agree as follows: </w:t>
      </w:r>
    </w:p>
    <w:p w:rsidR="00000000" w:rsidDel="00000000" w:rsidP="00000000" w:rsidRDefault="00000000" w:rsidRPr="00000000" w14:paraId="0000000E">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F">
      <w:pPr>
        <w:numPr>
          <w:ilvl w:val="0"/>
          <w:numId w:val="1"/>
        </w:numPr>
        <w:spacing w:after="0" w:line="239" w:lineRule="auto"/>
        <w:ind w:left="425.19685039370086" w:hanging="425.19685039370086"/>
        <w:rPr>
          <w:rFonts w:ascii="Helvetica Neue" w:cs="Helvetica Neue" w:eastAsia="Helvetica Neue" w:hAnsi="Helvetica Neue"/>
          <w:sz w:val="22"/>
          <w:szCs w:val="22"/>
          <w:u w:val="none"/>
        </w:rPr>
      </w:pPr>
      <w:r w:rsidDel="00000000" w:rsidR="00000000" w:rsidRPr="00000000">
        <w:rPr>
          <w:rFonts w:ascii="Helvetica Neue" w:cs="Helvetica Neue" w:eastAsia="Helvetica Neue" w:hAnsi="Helvetica Neue"/>
          <w:b w:val="1"/>
          <w:sz w:val="22"/>
          <w:szCs w:val="22"/>
          <w:rtl w:val="0"/>
        </w:rPr>
        <w:t xml:space="preserve">Purpose: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10">
      <w:pPr>
        <w:spacing w:after="0" w:line="239" w:lineRule="auto"/>
        <w:ind w:left="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desires to disclose to the Recipient certain information solely for the purpose of determining the feasibility and desirability of entering into a Transaction. The parties desire to protect the confidentiality of that information to facilitate discussions concerning such potential Transaction. </w:t>
      </w:r>
    </w:p>
    <w:p w:rsidR="00000000" w:rsidDel="00000000" w:rsidP="00000000" w:rsidRDefault="00000000" w:rsidRPr="00000000" w14:paraId="00000011">
      <w:pPr>
        <w:spacing w:after="0" w:line="239" w:lineRule="auto"/>
        <w:ind w:left="0"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 Information: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Subject to paragraph (b) below, any information disclosed by ZEDIANT to Recipient in connection with this Agreement will be deemed “Confidential Information.” Confidential Information includes, but is not limited to compounds, formulas, packaging, research strategies and plans, processes, designs, computer codes, proprietary software, product concepts, specifications, methods and know-how, marketing and business information, financial information, budgets and forecasts, cost and pricing information, client, customer and vendor lists, client and customer preferences, identities of corporate collaborators and partners, personnel matters, trade names, trademarks, trade secrets as defined by applicable law, and other information related to the ZEDIANT, whether or not such Confidential Information is registered with the Indian Patent and Trademark Office or any other government office or regulatory agency. Confidential Information includes, but is not limited to information communicated orally or by demonstration or in written, graphic, physical or electronic form or by other means, whether or not specifically marked “confidential” or with any similar notice. Recipient acknowledges that Confidential Information constitutes a valuable commercial asset of ZEDIANT, and that ZEDIANT is willing to disclose such information to Recipient only on the terms and conditions contained herein.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Information shall not be considered “’Confidential Information” hereunder if 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72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 is in the public domain at the time of disclosure, or thereafter, other than as a result of a breach of this Agreement by the Recipient or as a result of a breach of duty owed by any other person or entity to ZEDIANT </w:t>
      </w:r>
    </w:p>
    <w:p w:rsidR="00000000" w:rsidDel="00000000" w:rsidP="00000000" w:rsidRDefault="00000000" w:rsidRPr="00000000" w14:paraId="00000016">
      <w:pPr>
        <w:spacing w:after="0" w:line="239" w:lineRule="auto"/>
        <w:ind w:firstLine="72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ii) is already known to Recipient, on a non-confidential basis at the time of disclosure by ZEDIANT, as shown by competent evidence; </w:t>
      </w:r>
    </w:p>
    <w:p w:rsidR="00000000" w:rsidDel="00000000" w:rsidP="00000000" w:rsidRDefault="00000000" w:rsidRPr="00000000" w14:paraId="00000017">
      <w:pPr>
        <w:spacing w:after="0" w:line="239" w:lineRule="auto"/>
        <w:ind w:firstLine="72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iii) becomes known to Recipient from a source other than ZEDIANT; provided that such source has not entered into a confidentiality agreement with the ZEDIANT with respect to such information or obtained the information from an entity or person who is a party to a confidentiality agreement with ZEDIANT, and without a breach of this Agreement or without a breach of duty owed by any other person or entity to ZEDIANT; or </w:t>
      </w:r>
    </w:p>
    <w:p w:rsidR="00000000" w:rsidDel="00000000" w:rsidP="00000000" w:rsidRDefault="00000000" w:rsidRPr="00000000" w14:paraId="00000018">
      <w:pPr>
        <w:spacing w:after="0" w:line="23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iv. is proven by competent evidence by Recipient that it was independently conceived or discovered by ZEDIANT or its employees without reference to or use of ZEDIANT’s confidential information. </w:t>
      </w:r>
    </w:p>
    <w:p w:rsidR="00000000" w:rsidDel="00000000" w:rsidP="00000000" w:rsidRDefault="00000000" w:rsidRPr="00000000" w14:paraId="00000019">
      <w:pPr>
        <w:spacing w:after="0" w:line="23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Non-Disclosure and Non-Use Obligations: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To limit use of Confidential Information of ZEDIANT ( and each of its directors, officers, managers, employees, subsidiaries, affiliates, representatives, advisors, consultants or agents (collectively, “Representatives”), Recipient agrees under this Agreement for the sole purpose of evaluating the feasibility and desirability of entering into a Transaction and not to use or exploit such Confidential Information for any other purpose; </w:t>
      </w:r>
    </w:p>
    <w:p w:rsidR="00000000" w:rsidDel="00000000" w:rsidP="00000000" w:rsidRDefault="00000000" w:rsidRPr="00000000" w14:paraId="0000001C">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 Not to disclose Confidential Information of ZEDIANT to any person or entity that is not a party to this Agreement without the prior written consent of ZEDIANT and, upon receiving such consent, such party or entity shall be bound in writing by similar and enforceable obligations of confidentiality and non-use at least as broad as the terms herein (“Third Party Confidentiality Agreement”), a copy of which shall be provided to ZEDIANT promptly upon request. Each Third-Party Confidentiality Agreement shall include jurisdiction and venue clauses whereby the third party shall, in the event of a dispute, claim, suit, action, or proceeding, consent to personal jurisdiction in the State of West Bengal, INDIA; </w:t>
      </w:r>
    </w:p>
    <w:p w:rsidR="00000000" w:rsidDel="00000000" w:rsidP="00000000" w:rsidRDefault="00000000" w:rsidRPr="00000000" w14:paraId="0000001D">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 To disclose Confidential Information of ZEDIANT only if there is a need to know such information to accomplish the purpose of this Agreement, as set forth above; (ii) have been advised of the confidential nature of this information; and (iii) are bound in writing by similar and enforceable obligations of confidentiality and non-use at least as broad as the terms herein, a copy of which shall be provided to ZEDIANT promptly upon request; </w:t>
      </w:r>
    </w:p>
    <w:p w:rsidR="00000000" w:rsidDel="00000000" w:rsidP="00000000" w:rsidRDefault="00000000" w:rsidRPr="00000000" w14:paraId="0000001E">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 To protect Confidential Information received from ZEDIANT with the highest degree of care consistent with the care Recipient applies to its own confidential or proprietary information; </w:t>
      </w:r>
    </w:p>
    <w:p w:rsidR="00000000" w:rsidDel="00000000" w:rsidP="00000000" w:rsidRDefault="00000000" w:rsidRPr="00000000" w14:paraId="0000001F">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 Not to duplicate Confidential Information of the Recipient, other than for the purpose(s) set forth above, unless authorized to do so in writing by ZEDIANT, and upon the termination of a potential Transaction or upon the request of ZEDIANT, the Recipient will return to ZEDIANT or destroy all Confidential Information that is in tangible or electronic form, together with any copies that may have been made, and destroy all abstracts, summaries thereof, or references thereto in documents, and provide written certification that the foregoing has been completed; </w:t>
      </w:r>
    </w:p>
    <w:p w:rsidR="00000000" w:rsidDel="00000000" w:rsidP="00000000" w:rsidRDefault="00000000" w:rsidRPr="00000000" w14:paraId="00000020">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 Not to use any of the Confidential Information with respect to, or in furtherance of, any of its business, or in the business of anyone else, whether or not in competition with the ZEDIANT or for any other purpose whatsoever in contravention to this Agreement; and </w:t>
      </w:r>
    </w:p>
    <w:p w:rsidR="00000000" w:rsidDel="00000000" w:rsidP="00000000" w:rsidRDefault="00000000" w:rsidRPr="00000000" w14:paraId="00000021">
      <w:pPr>
        <w:spacing w:after="0" w:line="239" w:lineRule="auto"/>
        <w:ind w:left="20"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(g) To be responsible for any breach of this Agreement by the Recipient </w:t>
      </w:r>
    </w:p>
    <w:p w:rsidR="00000000" w:rsidDel="00000000" w:rsidP="00000000" w:rsidRDefault="00000000" w:rsidRPr="00000000" w14:paraId="00000022">
      <w:pPr>
        <w:spacing w:after="0" w:line="239" w:lineRule="auto"/>
        <w:ind w:firstLine="425.19685039370086"/>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Mandatory Disclosure: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the event that ZEDIANT or anyone to whom the Confidential Information was transmitted pursuant to this Agreement becomes legally compelled to disclose any of the Confidential Information, Recipient may disclose Confidential Information to the limited extent required by applicable law or court order; provided that the Recipient shall give ZEDIANT reasonable advance written notice of such required disclosure and shall cooperate with the Recipient’s efforts to limit the scope of disclosure and/or obtain confidential treatment thereof (whether by protective order or other appropriate remedy). In the event the recipient is unable to obtain such protective order or other appropriate remedy, only that portion of the confidential information which, as advised by a written opinion of counsel, is legally required shall be furnished. If the Recipient is legally required to disclose any Confidential Information as aforesaid, it shall use its best efforts to disclose only that portion of the Confidential Information which is legally required to be disclosed and to ensure that all Confidential Information that is so disclosed will be accorded confidential treatment.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Derivative Property: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Neither the terms of this Agreement nor the disclosure of any confidential information or any other information shall be construed as granting Recipient any right or license under any intellectual property, assets or rights now or hereafter owned or controlled by ZEDIANT. Information furnished by ZEDIANT shall remain the exclusive property of ZEDIANT hereunder. ZEDIANT shall own all right, title and interest in and to all methods, compounds, ideas and technology (including all intellectual property rights therein) derived or developed by or on behalf of ZEDIANT from confidential information disclosed by ZEDIANT. To the extent such derivative property is not deemed “works made for hire” under Indian copyright law, or if the parties agree in writing with respect to the ownership of a copyright in a work made for hire, Recipient shall assign, transfer and convey to the ZEDIANT all of ZEDIANT’s right, title and interest in and to such derivative property, including all intellectual property rights therein, and shall disclose fully and as soon as practicable in writing all such derivative property to ZEDIANT. Further the Recipient agrees to take all actions reasonably requested by ZEDIANT to assist ZEDIANT in effecting the foregoing transfer and in establishing, perfecting, defending, enforcing and protecting the Recipient’s rights in any of the derivative property, including, without limitation, assisting in the prosecution of any patent applications included in or based upon the intellectual property.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Non-Solicitation: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Without prior approval of ZEDIANT, no Representative of ZEDIANT shall be contacted concerning the potential Transaction. The Recipient agrees that, without prior written consent of ZEDIANT, neither it nor any of its Representatives will directly or indirectly solicit for employment any person who is employed by ZEDIANT, unless either (i) prior to such solicitation such person has been terminated by ZEDIANT, or (ii) the person who affected the solicitation was not aware of this Agreement or Recipient’s involvement in the potential Transaction. The soliciting party hereto will bear the burden of proof in that regard.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Term:</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and the benefits, obligations and liabilities thereunder, shall only apply to Confidential Information and, unless otherwise specified, shall be enforceable any time after the date of this Agreement.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Right to Refuse Confidential Information: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Recipient shall not be obliged under this Agreement to accept Confidential Information disclosed by the ZEDIANT, and the Recipient may refuse to receive Confidential Information from ZEDIANT prior to the disclosure thereof. Nothing in this Agreement limits the ZEDIANT’s rights to use or disclose its own confidential information in any manner it deems appropriate in its sole discretion.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Limited Purpose: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is limited in purpose to protection of Confidential Information and shall not be construed otherwise as a teaming agreement, joint venture or any other contractual relationship. Nothing in this Agreement shall create any commitment, by implication or otherwise, of either party to continue discussions regarding a potential Transaction, or to enter into any negotiations or further agreement with the other party.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Indemnification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Recipient shall defend, indemnify, and hold harmless ZEDIANT, ZEDIANT’s affiliates, and its respective shareholders, directors, officers, and employees from and against all losses, damages, liabilities, deficiencies, claims, actions, judgments, settlements, interest, awards, penalties, fines, fees, costs, or expenses of whatever kind, including reasonable attorneys' fees, the cost of enforcing any right to indemnification hereunder (collectively, "Losses") arising out of or in connection with any claim, suit, action, or proceeding related to any actual inaccuracy in or breach or non-fulfillment of any representation, warranty, covenant, agreement, or obligation of the Recipient contained in this Agreement or any document to be delivered hereunder.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Entire Understanding; Amendment; Headings: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contains the entire understanding between the parties, superseding all prior or contemporaneous communications, agreements and understandings between the parties, with respect to the exchange and protection of confidential information. This Agreement may not be modified in any manner except by written amendment executed by each of the parties hereto and only by a separate instrument expressly modifying such Agreement. No provision of this Agreement can be waived except in a written document expressly referring to this Agreement and executed by the waiving party, and such waiver shall only apply to the specific instance referred to in the writing. No failure or delay by either party in exercising any right, power or privilege hereunder shall operate as a waiver thereof, nor shall any single or partial exercise thereof preclude any other or further exercise thereof or the exercise of any other right, power or privilege hereunder. The captions and headings to the sections thereof are not a part of this Agreement, but are included merely for convenience of reference only and shall not affect its meaning or interpretation.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Assignment:</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may not be assigned or delegated by either party without the written consent of the other party; provided, however, ZEDIANT may assign this Agreement without such consent to a party that acquires all or substantially all of the assets of ZEDIANT whether by merger, sale, operation of law or otherwise; and further provided that, any such assignment shall not relieve the Recipient from its obligations hereunder and written notice shall be given to the Recipient upon such assignment. This Agreement shall be binding on and inure to the benefit of permitted successors and assigns. Any purported assignment or transfer in violation of this Section 12 will be void and of no force and effect.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Severability: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If it is found in a final judgment by a court of competent jurisdiction (not subject to further appeal) that any term or provision hereof is invalid or unenforceable, (i) the remaining terms and provisions hereof shall be unimpaired and shall remain in full force and effect and (ii) the invalid or unenforceable provision or term shall be replaced by a term or provision that is valid and enforceable and that comes closest to expressing the intention of such invalid or unenforceable term or provision.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Applicable Law; Remedies: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Agreement shall be interpreted under, and construed in accordance with the laws of the State of West Bengal without reference to conflict of laws principles. The parties hereto irrevocably submit to the jurisdiction of any court of the State of West Bengal located in Kolkata County or the India District Court for the North 24 Parganas of the State of West Bengal for the purpose of any suit, action, or other proceeding arising out of this Agreement, or any of the agreements or transactions contemplated hereby, which is brought by or against it and hereby irrevocably agree that all claims in respect of any such suit, action or proceeding may be heard and determined in any such court. The parties acknowledge and agree that a breach of the provisions of this Agreement would cause ZEDIANT to suffer irreparable damage that could not be adequately remedied by an action at law. Accordingly, the Recipient agrees that ZEDIANT shall have the right to seek specific performance as a remedy for any breach of the provisions of this Agreement by the Recipient or to enjoin a breach or attempted breach of the provisions thereof by the Recipient, such right being in addition to all other rights and remedies available to ZEDIANT at law, in equity, or otherwise, and that in any such proceeding, ZEDIANT shall not be required to post any bond or other security.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9" w:lineRule="auto"/>
        <w:ind w:left="425.19685039370086" w:right="0" w:hanging="425.19685039370086"/>
        <w:jc w:val="left"/>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Counterparts: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For the convenience of the parties, any number of counterparts of this Agreement may be executed and delivered in original or by facsimile or Portable Document Format by the parties hereto. Each such counterpart shall be, and shall be deemed to be, an original instrument, but all such counterparts taken together shall constitute one and the same Agreement.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7">
      <w:pPr>
        <w:spacing w:after="200" w:line="276" w:lineRule="auto"/>
        <w:ind w:left="0" w:right="-715" w:firstLine="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WITNESS WHEREOF, the parties have caused this Agreement to be executed by their duly authorized representatives.</w:t>
      </w:r>
    </w:p>
    <w:p w:rsidR="00000000" w:rsidDel="00000000" w:rsidP="00000000" w:rsidRDefault="00000000" w:rsidRPr="00000000" w14:paraId="00000048">
      <w:pPr>
        <w:spacing w:after="200" w:before="144" w:line="276" w:lineRule="auto"/>
        <w:ind w:left="-720" w:right="8659" w:firstLine="0"/>
        <w:rPr>
          <w:rFonts w:ascii="Trebuchet MS" w:cs="Trebuchet MS" w:eastAsia="Trebuchet MS" w:hAnsi="Trebuchet MS"/>
          <w:sz w:val="19"/>
          <w:szCs w:val="19"/>
        </w:rPr>
      </w:pPr>
      <w:r w:rsidDel="00000000" w:rsidR="00000000" w:rsidRPr="00000000">
        <w:rPr>
          <w:rFonts w:ascii="Trebuchet MS" w:cs="Trebuchet MS" w:eastAsia="Trebuchet MS" w:hAnsi="Trebuchet MS"/>
          <w:sz w:val="19"/>
          <w:szCs w:val="19"/>
          <w:rtl w:val="0"/>
        </w:rPr>
        <w:tab/>
      </w:r>
    </w:p>
    <w:tbl>
      <w:tblPr>
        <w:tblStyle w:val="Table1"/>
        <w:tblW w:w="9915.0" w:type="dxa"/>
        <w:jc w:val="left"/>
        <w:tblInd w:w="115.0" w:type="dxa"/>
        <w:tblLayout w:type="fixed"/>
        <w:tblLook w:val="0600"/>
      </w:tblPr>
      <w:tblGrid>
        <w:gridCol w:w="4590"/>
        <w:gridCol w:w="5325"/>
        <w:tblGridChange w:id="0">
          <w:tblGrid>
            <w:gridCol w:w="4590"/>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sz w:val="19"/>
                <w:szCs w:val="19"/>
              </w:rPr>
            </w:pPr>
            <w:r w:rsidDel="00000000" w:rsidR="00000000" w:rsidRPr="00000000">
              <w:rPr>
                <w:rFonts w:ascii="Trebuchet MS" w:cs="Trebuchet MS" w:eastAsia="Trebuchet MS" w:hAnsi="Trebuchet MS"/>
                <w:b w:val="1"/>
                <w:sz w:val="22"/>
                <w:szCs w:val="22"/>
                <w:rtl w:val="0"/>
              </w:rPr>
              <w:t xml:space="preserve">For ZEDIANT TECHNOLOGIES PVT. LTD. </w:t>
            </w:r>
            <w:r w:rsidDel="00000000" w:rsidR="00000000" w:rsidRPr="00000000">
              <w:rPr>
                <w:rFonts w:ascii="Trebuchet MS" w:cs="Trebuchet MS" w:eastAsia="Trebuchet MS" w:hAnsi="Trebuchet MS"/>
                <w:sz w:val="19"/>
                <w:szCs w:val="19"/>
              </w:rPr>
              <w:drawing>
                <wp:inline distB="114300" distT="114300" distL="114300" distR="114300">
                  <wp:extent cx="1636077" cy="551011"/>
                  <wp:effectExtent b="0" l="0" r="0" t="0"/>
                  <wp:docPr id="5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636077" cy="55101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before="144" w:line="276" w:lineRule="auto"/>
              <w:ind w:left="0" w:right="-715"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RAJEEV JAISWAL</w:t>
            </w:r>
            <w:r w:rsidDel="00000000" w:rsidR="00000000" w:rsidRPr="00000000">
              <w:rPr>
                <w:rFonts w:ascii="Trebuchet MS" w:cs="Trebuchet MS" w:eastAsia="Trebuchet MS" w:hAnsi="Trebuchet MS"/>
                <w:sz w:val="19"/>
                <w:szCs w:val="19"/>
                <w:rtl w:val="0"/>
              </w:rPr>
              <w:br w:type="textWrapping"/>
            </w:r>
            <w:r w:rsidDel="00000000" w:rsidR="00000000" w:rsidRPr="00000000">
              <w:rPr>
                <w:rFonts w:ascii="Arial" w:cs="Arial" w:eastAsia="Arial" w:hAnsi="Arial"/>
                <w:sz w:val="19"/>
                <w:szCs w:val="19"/>
                <w:rtl w:val="0"/>
              </w:rPr>
              <w:t xml:space="preserve">DIRECTOR</w:t>
            </w:r>
          </w:p>
          <w:p w:rsidR="00000000" w:rsidDel="00000000" w:rsidP="00000000" w:rsidRDefault="00000000" w:rsidRPr="00000000" w14:paraId="0000004B">
            <w:pPr>
              <w:spacing w:after="200" w:before="144" w:line="276" w:lineRule="auto"/>
              <w:ind w:left="0" w:right="-715"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Date: </w:t>
            </w:r>
            <w:r w:rsidDel="00000000" w:rsidR="00000000" w:rsidRPr="00000000">
              <w:rPr>
                <w:rFonts w:ascii="Trebuchet MS" w:cs="Trebuchet MS" w:eastAsia="Trebuchet MS" w:hAnsi="Trebuchet MS"/>
                <w:sz w:val="19"/>
                <w:szCs w:val="19"/>
                <w:rtl w:val="0"/>
              </w:rPr>
              <w:t xml:space="preserve">22</w:t>
            </w:r>
            <w:r w:rsidDel="00000000" w:rsidR="00000000" w:rsidRPr="00000000">
              <w:rPr>
                <w:rFonts w:ascii="Arial" w:cs="Arial" w:eastAsia="Arial" w:hAnsi="Arial"/>
                <w:sz w:val="19"/>
                <w:szCs w:val="19"/>
                <w:rtl w:val="0"/>
              </w:rPr>
              <w:t xml:space="preserve">/0</w:t>
            </w:r>
            <w:r w:rsidDel="00000000" w:rsidR="00000000" w:rsidRPr="00000000">
              <w:rPr>
                <w:rFonts w:ascii="Trebuchet MS" w:cs="Trebuchet MS" w:eastAsia="Trebuchet MS" w:hAnsi="Trebuchet MS"/>
                <w:sz w:val="19"/>
                <w:szCs w:val="19"/>
                <w:rtl w:val="0"/>
              </w:rPr>
              <w:t xml:space="preserve">2</w:t>
            </w:r>
            <w:r w:rsidDel="00000000" w:rsidR="00000000" w:rsidRPr="00000000">
              <w:rPr>
                <w:rFonts w:ascii="Arial" w:cs="Arial" w:eastAsia="Arial" w:hAnsi="Arial"/>
                <w:sz w:val="19"/>
                <w:szCs w:val="19"/>
                <w:rtl w:val="0"/>
              </w:rPr>
              <w:t xml:space="preserve">/202</w:t>
            </w:r>
            <w:r w:rsidDel="00000000" w:rsidR="00000000" w:rsidRPr="00000000">
              <w:rPr>
                <w:rFonts w:ascii="Trebuchet MS" w:cs="Trebuchet MS" w:eastAsia="Trebuchet MS" w:hAnsi="Trebuchet MS"/>
                <w:sz w:val="19"/>
                <w:szCs w:val="19"/>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b w:val="1"/>
                <w:sz w:val="22"/>
                <w:szCs w:val="22"/>
              </w:rPr>
            </w:pPr>
            <w:r w:rsidDel="00000000" w:rsidR="00000000" w:rsidRPr="00000000">
              <w:rPr>
                <w:rFonts w:ascii="Trebuchet MS" w:cs="Trebuchet MS" w:eastAsia="Trebuchet MS" w:hAnsi="Trebuchet MS"/>
                <w:b w:val="1"/>
                <w:sz w:val="22"/>
                <w:szCs w:val="22"/>
                <w:rtl w:val="0"/>
              </w:rPr>
              <w:t xml:space="preserve">For Recipient,</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Trebuchet MS" w:cs="Trebuchet MS" w:eastAsia="Trebuchet MS" w:hAnsi="Trebuchet MS"/>
                <w:sz w:val="19"/>
                <w:szCs w:val="19"/>
              </w:rPr>
            </w:pPr>
            <w:r w:rsidDel="00000000" w:rsidR="00000000" w:rsidRPr="00000000">
              <w:rPr>
                <w:rFonts w:ascii="Trebuchet MS" w:cs="Trebuchet MS" w:eastAsia="Trebuchet MS" w:hAnsi="Trebuchet MS"/>
                <w:b w:val="1"/>
                <w:sz w:val="22"/>
                <w:szCs w:val="22"/>
                <w:rtl w:val="0"/>
              </w:rPr>
              <w:t xml:space="preserve"> </w:t>
            </w:r>
            <w:r w:rsidDel="00000000" w:rsidR="00000000" w:rsidRPr="00000000">
              <w:rPr>
                <w:rtl w:val="0"/>
              </w:rPr>
            </w:r>
          </w:p>
          <w:p w:rsidR="00000000" w:rsidDel="00000000" w:rsidP="00000000" w:rsidRDefault="00000000" w:rsidRPr="00000000" w14:paraId="0000004E">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4F">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50">
            <w:pPr>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SANJAY BUNDELLA</w:t>
            </w:r>
            <w:r w:rsidDel="00000000" w:rsidR="00000000" w:rsidRPr="00000000">
              <w:rPr>
                <w:rFonts w:ascii="Trebuchet MS" w:cs="Trebuchet MS" w:eastAsia="Trebuchet MS" w:hAnsi="Trebuchet MS"/>
                <w:sz w:val="19"/>
                <w:szCs w:val="19"/>
                <w:rtl w:val="0"/>
              </w:rPr>
              <w:br w:type="textWrapping"/>
            </w:r>
            <w:r w:rsidDel="00000000" w:rsidR="00000000" w:rsidRPr="00000000">
              <w:rPr>
                <w:rFonts w:ascii="Arial" w:cs="Arial" w:eastAsia="Arial" w:hAnsi="Arial"/>
                <w:sz w:val="19"/>
                <w:szCs w:val="19"/>
                <w:rtl w:val="0"/>
              </w:rPr>
              <w:t xml:space="preserve">RZ-13 'R' New Roshanpura Najafgarh New Delhi -110043</w:t>
            </w:r>
          </w:p>
          <w:p w:rsidR="00000000" w:rsidDel="00000000" w:rsidP="00000000" w:rsidRDefault="00000000" w:rsidRPr="00000000" w14:paraId="00000051">
            <w:pPr>
              <w:ind w:left="0" w:firstLine="0"/>
              <w:rPr>
                <w:rFonts w:ascii="Arial" w:cs="Arial" w:eastAsia="Arial" w:hAnsi="Arial"/>
                <w:sz w:val="19"/>
                <w:szCs w:val="19"/>
              </w:rPr>
            </w:pPr>
            <w:r w:rsidDel="00000000" w:rsidR="00000000" w:rsidRPr="00000000">
              <w:rPr>
                <w:rtl w:val="0"/>
              </w:rPr>
            </w:r>
          </w:p>
          <w:p w:rsidR="00000000" w:rsidDel="00000000" w:rsidP="00000000" w:rsidRDefault="00000000" w:rsidRPr="00000000" w14:paraId="00000052">
            <w:pPr>
              <w:ind w:left="0" w:firstLine="0"/>
              <w:rPr>
                <w:rFonts w:ascii="Arial" w:cs="Arial" w:eastAsia="Arial" w:hAnsi="Arial"/>
                <w:sz w:val="19"/>
                <w:szCs w:val="19"/>
              </w:rPr>
            </w:pPr>
            <w:r w:rsidDel="00000000" w:rsidR="00000000" w:rsidRPr="00000000">
              <w:rPr>
                <w:rFonts w:ascii="Arial" w:cs="Arial" w:eastAsia="Arial" w:hAnsi="Arial"/>
                <w:sz w:val="19"/>
                <w:szCs w:val="19"/>
                <w:rtl w:val="0"/>
              </w:rPr>
              <w:t xml:space="preserve">Date: </w:t>
            </w:r>
            <w:r w:rsidDel="00000000" w:rsidR="00000000" w:rsidRPr="00000000">
              <w:rPr>
                <w:rFonts w:ascii="Trebuchet MS" w:cs="Trebuchet MS" w:eastAsia="Trebuchet MS" w:hAnsi="Trebuchet MS"/>
                <w:sz w:val="19"/>
                <w:szCs w:val="19"/>
                <w:rtl w:val="0"/>
              </w:rPr>
              <w:t xml:space="preserve">22</w:t>
            </w:r>
            <w:r w:rsidDel="00000000" w:rsidR="00000000" w:rsidRPr="00000000">
              <w:rPr>
                <w:rFonts w:ascii="Arial" w:cs="Arial" w:eastAsia="Arial" w:hAnsi="Arial"/>
                <w:sz w:val="19"/>
                <w:szCs w:val="19"/>
                <w:rtl w:val="0"/>
              </w:rPr>
              <w:t xml:space="preserve">/0</w:t>
            </w:r>
            <w:r w:rsidDel="00000000" w:rsidR="00000000" w:rsidRPr="00000000">
              <w:rPr>
                <w:rFonts w:ascii="Trebuchet MS" w:cs="Trebuchet MS" w:eastAsia="Trebuchet MS" w:hAnsi="Trebuchet MS"/>
                <w:sz w:val="19"/>
                <w:szCs w:val="19"/>
                <w:rtl w:val="0"/>
              </w:rPr>
              <w:t xml:space="preserve">2</w:t>
            </w:r>
            <w:r w:rsidDel="00000000" w:rsidR="00000000" w:rsidRPr="00000000">
              <w:rPr>
                <w:rFonts w:ascii="Arial" w:cs="Arial" w:eastAsia="Arial" w:hAnsi="Arial"/>
                <w:sz w:val="19"/>
                <w:szCs w:val="19"/>
                <w:rtl w:val="0"/>
              </w:rPr>
              <w:t xml:space="preserve">/202</w:t>
            </w:r>
            <w:r w:rsidDel="00000000" w:rsidR="00000000" w:rsidRPr="00000000">
              <w:rPr>
                <w:rFonts w:ascii="Trebuchet MS" w:cs="Trebuchet MS" w:eastAsia="Trebuchet MS" w:hAnsi="Trebuchet MS"/>
                <w:sz w:val="19"/>
                <w:szCs w:val="19"/>
                <w:rtl w:val="0"/>
              </w:rPr>
              <w:t xml:space="preserve">5</w:t>
            </w:r>
            <w:r w:rsidDel="00000000" w:rsidR="00000000" w:rsidRPr="00000000">
              <w:rPr>
                <w:rtl w:val="0"/>
              </w:rPr>
            </w:r>
          </w:p>
        </w:tc>
      </w:tr>
    </w:tbl>
    <w:p w:rsidR="00000000" w:rsidDel="00000000" w:rsidP="00000000" w:rsidRDefault="00000000" w:rsidRPr="00000000" w14:paraId="00000053">
      <w:pPr>
        <w:tabs>
          <w:tab w:val="left" w:leader="none" w:pos="2490"/>
        </w:tabs>
        <w:rPr>
          <w:rFonts w:ascii="Helvetica Neue" w:cs="Helvetica Neue" w:eastAsia="Helvetica Neue" w:hAnsi="Helvetica Neue"/>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rebuchet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rFonts w:ascii="Helvetica Neue" w:cs="Helvetica Neue" w:eastAsia="Helvetica Neue" w:hAnsi="Helvetica Neue"/>
      </w:rPr>
    </w:pPr>
    <w:r w:rsidDel="00000000" w:rsidR="00000000" w:rsidRPr="00000000">
      <w:rPr>
        <w:rFonts w:ascii="Helvetica Neue" w:cs="Helvetica Neue" w:eastAsia="Helvetica Neue" w:hAnsi="Helvetica Neue"/>
      </w:rPr>
      <mc:AlternateContent>
        <mc:Choice Requires="wpg">
          <w:drawing>
            <wp:inline distB="114300" distT="114300" distL="114300" distR="114300">
              <wp:extent cx="6319050" cy="31750"/>
              <wp:effectExtent b="0" l="0" r="0" t="0"/>
              <wp:docPr id="52" name=""/>
              <a:graphic>
                <a:graphicData uri="http://schemas.microsoft.com/office/word/2010/wordprocessingShape">
                  <wps:wsp>
                    <wps:cNvCnPr/>
                    <wps:spPr>
                      <a:xfrm>
                        <a:off x="3477450" y="3775050"/>
                        <a:ext cx="3737100" cy="9900"/>
                      </a:xfrm>
                      <a:prstGeom prst="straightConnector1">
                        <a:avLst/>
                      </a:prstGeom>
                      <a:noFill/>
                      <a:ln cap="flat" cmpd="sng" w="9525">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319050" cy="31750"/>
              <wp:effectExtent b="0" l="0" r="0" t="0"/>
              <wp:docPr id="5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19050" cy="31750"/>
                      </a:xfrm>
                      <a:prstGeom prst="rect"/>
                      <a:ln/>
                    </pic:spPr>
                  </pic:pic>
                </a:graphicData>
              </a:graphic>
            </wp:inline>
          </w:drawing>
        </mc:Fallback>
      </mc:AlternateContent>
    </w:r>
    <w:r w:rsidDel="00000000" w:rsidR="00000000" w:rsidRPr="00000000">
      <w:rPr>
        <w:rtl w:val="0"/>
      </w:rPr>
    </w:r>
  </w:p>
  <w:tbl>
    <w:tblPr>
      <w:tblStyle w:val="Table2"/>
      <w:tblW w:w="9922.0" w:type="dxa"/>
      <w:jc w:val="center"/>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5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05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059">
          <w:pPr>
            <w:spacing w:before="0" w:lineRule="auto"/>
            <w:ind w:left="22.67716535433071"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5A">
    <w:pPr>
      <w:rPr>
        <w:rFonts w:ascii="Helvetica Neue" w:cs="Helvetica Neue" w:eastAsia="Helvetica Neue" w:hAnsi="Helvetica Neue"/>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ind w:left="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2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2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2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2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2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296"/>
      </w:tabs>
      <w:spacing w:after="60" w:before="240" w:line="240" w:lineRule="auto"/>
      <w:ind w:left="1296" w:hanging="1296"/>
      <w:outlineLvl w:val="6"/>
    </w:pPr>
    <w:rPr>
      <w:rFonts w:ascii="Arial" w:cs="Times New Roman" w:eastAsia="Times New Roman" w:hAnsi="Arial"/>
      <w:color w:val="auto"/>
      <w:szCs w:val="20"/>
    </w:rPr>
  </w:style>
  <w:style w:type="paragraph" w:styleId="Heading8">
    <w:name w:val="heading 8"/>
    <w:basedOn w:val="Normal"/>
    <w:next w:val="Normal"/>
    <w:link w:val="Heading8Char"/>
    <w:semiHidden w:val="1"/>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440"/>
      </w:tabs>
      <w:spacing w:after="60" w:before="240" w:line="240" w:lineRule="auto"/>
      <w:ind w:left="1440" w:hanging="1440"/>
      <w:outlineLvl w:val="7"/>
    </w:pPr>
    <w:rPr>
      <w:rFonts w:ascii="Arial" w:cs="Times New Roman" w:eastAsia="Times New Roman" w:hAnsi="Arial"/>
      <w:i w:val="1"/>
      <w:color w:val="auto"/>
      <w:szCs w:val="20"/>
    </w:rPr>
  </w:style>
  <w:style w:type="paragraph" w:styleId="Heading9">
    <w:name w:val="heading 9"/>
    <w:basedOn w:val="Normal"/>
    <w:next w:val="Normal"/>
    <w:link w:val="Heading9Char"/>
    <w:semiHidden w:val="1"/>
    <w:unhideWhenUsed w:val="1"/>
    <w:qFormat w:val="1"/>
    <w:rsid w:val="00151C08"/>
    <w:pPr>
      <w:widowControl w:val="1"/>
      <w:pBdr>
        <w:top w:color="auto" w:space="0" w:sz="0" w:val="none"/>
        <w:left w:color="auto" w:space="0" w:sz="0" w:val="none"/>
        <w:bottom w:color="auto" w:space="0" w:sz="0" w:val="none"/>
        <w:right w:color="auto" w:space="0" w:sz="0" w:val="none"/>
        <w:between w:color="auto" w:space="0" w:sz="0" w:val="none"/>
      </w:pBdr>
      <w:tabs>
        <w:tab w:val="num" w:pos="1584"/>
      </w:tabs>
      <w:spacing w:after="60" w:before="240" w:line="240" w:lineRule="auto"/>
      <w:ind w:left="1584" w:hanging="1584"/>
      <w:outlineLvl w:val="8"/>
    </w:pPr>
    <w:rPr>
      <w:rFonts w:ascii="Arial" w:cs="Times New Roman" w:eastAsia="Times New Roman" w:hAnsi="Arial"/>
      <w:b w:val="1"/>
      <w:i w:val="1"/>
      <w:color w:val="auto"/>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pBdr>
        <w:top w:color="auto" w:space="0" w:sz="0" w:val="none"/>
        <w:left w:color="auto" w:space="0" w:sz="0" w:val="none"/>
        <w:bottom w:color="auto" w:space="0" w:sz="0" w:val="none"/>
        <w:right w:color="auto" w:space="0" w:sz="0" w:val="none"/>
        <w:between w:color="auto" w:space="0" w:sz="0" w:val="none"/>
      </w:pBdr>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3"/>
      </w:numPr>
      <w:pBdr>
        <w:top w:color="auto" w:space="0" w:sz="0" w:val="none"/>
        <w:left w:color="auto" w:space="0" w:sz="0" w:val="none"/>
        <w:bottom w:color="auto" w:space="0" w:sz="0" w:val="none"/>
        <w:right w:color="auto" w:space="0" w:sz="0" w:val="none"/>
        <w:between w:color="auto" w:space="0" w:sz="0" w:val="none"/>
      </w:pBdr>
      <w:tabs>
        <w:tab w:val="left" w:pos="1170"/>
      </w:tabs>
      <w:spacing w:after="0" w:before="120" w:line="240" w:lineRule="auto"/>
      <w:ind w:left="1170" w:hanging="450"/>
    </w:pPr>
    <w:rPr>
      <w:rFonts w:ascii="Times New Roman" w:cs="Times New Roman" w:eastAsia="Times New Roman" w:hAnsi="Times New Roman"/>
      <w:color w:val="auto"/>
      <w:szCs w:val="20"/>
    </w:rPr>
  </w:style>
  <w:style w:type="paragraph" w:styleId="TableText" w:customStyle="1">
    <w:name w:val="Table Text"/>
    <w:basedOn w:val="Normal"/>
    <w:rsid w:val="00151C08"/>
    <w:pPr>
      <w:widowControl w:val="1"/>
      <w:pBdr>
        <w:top w:color="auto" w:space="0" w:sz="0" w:val="none"/>
        <w:left w:color="auto" w:space="0" w:sz="0" w:val="none"/>
        <w:bottom w:color="auto" w:space="0" w:sz="0" w:val="none"/>
        <w:right w:color="auto" w:space="0" w:sz="0" w:val="none"/>
        <w:between w:color="auto" w:space="0" w:sz="0" w:val="none"/>
      </w:pBdr>
      <w:spacing w:after="40" w:before="40" w:line="240" w:lineRule="auto"/>
    </w:pPr>
    <w:rPr>
      <w:rFonts w:ascii="Times New Roman" w:cs="Times New Roman" w:eastAsia="Times New Roman" w:hAnsi="Times New Roman"/>
      <w:color w:val="auto"/>
      <w:sz w:val="22"/>
      <w:szCs w:val="20"/>
    </w:rPr>
  </w:style>
  <w:style w:type="paragraph" w:styleId="Bullet2over" w:customStyle="1">
    <w:name w:val="Bullet2 over"/>
    <w:basedOn w:val="Normal"/>
    <w:rsid w:val="00151C08"/>
    <w:pPr>
      <w:widowControl w:val="1"/>
      <w:numPr>
        <w:numId w:val="4"/>
      </w:numPr>
      <w:pBdr>
        <w:top w:color="auto" w:space="0" w:sz="0" w:val="none"/>
        <w:left w:color="auto" w:space="0" w:sz="0" w:val="none"/>
        <w:bottom w:color="auto" w:space="0" w:sz="0" w:val="none"/>
        <w:right w:color="auto" w:space="0" w:sz="0" w:val="none"/>
        <w:between w:color="auto" w:space="0" w:sz="0" w:val="none"/>
      </w:pBdr>
      <w:tabs>
        <w:tab w:val="left" w:pos="36"/>
      </w:tabs>
      <w:spacing w:after="0" w:before="120" w:line="240" w:lineRule="auto"/>
    </w:pPr>
    <w:rPr>
      <w:rFonts w:ascii="Times New Roman" w:cs="Times New Roman" w:eastAsia="Times New Roman" w:hAnsi="Times New Roman"/>
      <w:color w:val="auto"/>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pBdr>
        <w:top w:color="auto" w:space="0" w:sz="0" w:val="none"/>
        <w:left w:color="auto" w:space="0" w:sz="0" w:val="none"/>
        <w:bottom w:color="auto" w:space="0" w:sz="0" w:val="none"/>
        <w:right w:color="auto" w:space="0" w:sz="0" w:val="none"/>
        <w:between w:color="auto" w:space="0" w:sz="0" w:val="none"/>
      </w:pBdr>
      <w:spacing w:after="0" w:line="240" w:lineRule="auto"/>
    </w:pPr>
    <w:rPr>
      <w:rFonts w:cs="Times New Roman"/>
      <w:color w:val="auto"/>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QPzLM6ToLGl4b+Ql8GoNluxCOA==">CgMxLjA4AHIhMUcyVkJtSzJMVC1TbFdETlkxMWtVcGZUU2o3YjFGQVZo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2020-10-21T04:38:00Z</dcterms:created>
  <dc:creator>BenayLap</dc:creator>
</cp:coreProperties>
</file>