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Strategic, Content, UX/Design &amp; SEO Audit</w:t>
      </w:r>
    </w:p>
    <w:p>
      <w:pPr>
        <w:pStyle w:val="Heading2"/>
        <w:spacing w:after="300"/>
      </w:pPr>
      <w:r>
        <w:t xml:space="preserve">AI-Enabled Product Engineering — Service Page</w:t>
      </w:r>
    </w:p>
    <w:p>
      <w:pPr>
        <w:spacing w:after="80"/>
      </w:pPr>
      <w:r>
        <w:rPr>
          <w:b w:val="false"/>
          <w:bCs w:val="false"/>
          <w:i w:val="false"/>
          <w:iCs w:val="false"/>
        </w:rPr>
        <w:t xml:space="preserve">Page audited: https://zediant.com/services/ai-enabled-product-engineering/</w:t>
      </w:r>
    </w:p>
    <w:p>
      <w:pPr>
        <w:spacing w:after="80"/>
      </w:pPr>
      <w:r>
        <w:rPr>
          <w:b w:val="false"/>
          <w:bCs w:val="false"/>
          <w:i w:val="false"/>
          <w:iCs w:val="false"/>
        </w:rPr>
        <w:t xml:space="preserve">Audit date: August 29, 2026</w:t>
      </w:r>
    </w:p>
    <w:p>
      <w:pPr>
        <w:spacing w:after="80"/>
      </w:pPr>
      <w:r>
        <w:rPr>
          <w:b/>
          <w:bCs/>
          <w:i w:val="false"/>
          <w:iCs w:val="false"/>
        </w:rPr>
        <w:t xml:space="preserve">Status: AUDIT ONLY. No files, copy, images, or code were modified. This report is a diagnostic input for a separate implementation plan.</w:t>
      </w:r>
    </w:p>
    <w:p>
      <w:pPr>
        <w:spacing w:after="200"/>
      </w:pPr>
    </w:p>
    <w:p>
      <w:pPr>
        <w:spacing w:after="100"/>
      </w:pPr>
      <w:r>
        <w:rPr>
          <w:b w:val="false"/>
          <w:bCs w:val="false"/>
          <w:i w:val="false"/>
          <w:iCs w:val="false"/>
        </w:rPr>
        <w:t xml:space="preserve">Method note: This audit combines (1) a live re-fetch and browser-rendered walkthrough of the target page and comparison pages conducted for this report, and (2) prior read-only audit work already on file in this project (seo-audit/01–08, context/services.md, context/company.md, policies/claims-and-compliance.md), reconciled and re-verified where the two overlap. Every finding below is labeled A (stated on the site), B (this audit's interpretation), or C (this audit's recommendation), per the task's own instruction.</w:t>
      </w:r>
    </w:p>
    <w:p>
      <w:r>
        <w:br w:type="page"/>
      </w:r>
    </w:p>
    <w:p>
      <w:pPr>
        <w:pStyle w:val="Heading1"/>
        <w:spacing w:after="200" w:before="400"/>
      </w:pPr>
      <w:r>
        <w:t xml:space="preserve">1. Executive Summary</w:t>
      </w:r>
    </w:p>
    <w:p>
      <w:pPr>
        <w:spacing w:after="160"/>
      </w:pPr>
      <w:r>
        <w:rPr>
          <w:b w:val="false"/>
          <w:bCs w:val="false"/>
          <w:i w:val="false"/>
          <w:iCs w:val="false"/>
        </w:rPr>
        <w:t xml:space="preserve">The AI-Enabled Product Engineering page sells build/rebuild capacity for SaaS and enterprise platforms, delivered by Zediant's own engineering teams using AI-assisted tooling. That is a legitimate, sellable service and one the rest of the Zediant site is increasingly organized around. This specific page, however, is the weakest-executed and highest-risk of Zediant's four core service pages, for four connected reasons:</w:t>
      </w:r>
    </w:p>
    <w:p>
      <w:pPr>
        <w:pStyle w:val="ListParagraph"/>
        <w:numPr>
          <w:ilvl w:val="0"/>
          <w:numId w:val="1"/>
        </w:numPr>
        <w:spacing w:after="60"/>
      </w:pPr>
      <w:r>
        <w:t xml:space="preserve">It is not clearly about product engineering. The H1 ("Build Intelligent Platforms with AI-Ready Architectures") and the differentiator copy ("Platform-first engineering approach") both use platform language, which is also the entire subject of the separate Platform Engineering page. A buyer reading both pages back to back would struggle to say what's different.</w:t>
      </w:r>
    </w:p>
    <w:p>
      <w:pPr>
        <w:pStyle w:val="ListParagraph"/>
        <w:numPr>
          <w:ilvl w:val="0"/>
          <w:numId w:val="1"/>
        </w:numPr>
        <w:spacing w:after="60"/>
      </w:pPr>
      <w:r>
        <w:t xml:space="preserve">It overclaims Zediant's AI-product depth. The hero subhead promises products that "leverage Generative AI and Machine Learning," and a capability card promises "custom Generative AI and Large Language Model (LLM) integrations." Zediant's own internal documentation (context/services.md, policies/claims-and-compliance.md §5) states plainly that this exact capability — AI/LLM features embedded in a client's product — has no documented client case study, and explicitly instructs the team not to lead with "AI Development Company" positioning. The live page currently states, verbatim, "Zediant is an AI-First engineering firm." This is the single most consequential finding in this audit.</w:t>
      </w:r>
    </w:p>
    <w:p>
      <w:pPr>
        <w:pStyle w:val="ListParagraph"/>
        <w:numPr>
          <w:ilvl w:val="0"/>
          <w:numId w:val="1"/>
        </w:numPr>
        <w:spacing w:after="60"/>
      </w:pPr>
      <w:r>
        <w:t xml:space="preserve">It has zero proof. No case study, testimonial, client logo, or named outcome appears anywhere on the page — for a service whose central claim (AI capability) is the one Zediant's own policy says is hardest to substantiate.</w:t>
      </w:r>
    </w:p>
    <w:p>
      <w:pPr>
        <w:pStyle w:val="ListParagraph"/>
        <w:numPr>
          <w:ilvl w:val="0"/>
          <w:numId w:val="1"/>
        </w:numPr>
        <w:spacing w:after="60"/>
      </w:pPr>
      <w:r>
        <w:t xml:space="preserve">It is structurally a template. The hero-stat → capability grid → 4-icon "AI workflow" grid → vertical grid → security-pillars → contact pattern, and the 30–40% delivery-acceleration figure, repeat almost exactly across the Dedicated Engineering, Platform Engineering, and Enterprise Custom Development pages. Dedicated Engineering Pods (named pod roles, three named tiers) is the one page on the site with genuine, ownable differentiation; this page has none of its equivalent.</w:t>
      </w:r>
    </w:p>
    <w:p>
      <w:pPr>
        <w:spacing w:after="160"/>
      </w:pPr>
      <w:r>
        <w:rPr>
          <w:b w:val="false"/>
          <w:bCs w:val="false"/>
          <w:i w:val="false"/>
          <w:iCs w:val="false"/>
        </w:rPr>
        <w:t xml:space="preserve">On the positive side: the page's SOC 2 wording is internally consistent and compliant ("Aligned," not "Certified") in this live pass — a genuine improvement worth preserving. The visual design is clean, the capability cards are well organized, and the closing contact form is an appropriately low-friction, sales-assisted CTA for a considered B2B purchase. The fix here is not a redesign; it is a repositioning and a proof problem.</w:t>
      </w:r>
    </w:p>
    <w:p>
      <w:pPr>
        <w:spacing w:after="160"/>
      </w:pPr>
      <w:r>
        <w:rPr>
          <w:b w:val="false"/>
          <w:bCs w:val="false"/>
          <w:i w:val="false"/>
          <w:iCs w:val="false"/>
        </w:rPr>
        <w:t xml:space="preserve">Overall score: 4.5/10 (see Section 22 for the full breakdown). The page is competently built and reasonably fast to fix — most of the highest-priority problems are copy and linking changes, not new design or new capability. Do not implement any of the below yet; this is the audit only, per the brief.</w:t>
      </w:r>
    </w:p>
    <w:p>
      <w:pPr>
        <w:pStyle w:val="Heading1"/>
        <w:spacing w:after="200" w:before="400"/>
      </w:pPr>
      <w:r>
        <w:t xml:space="preserve">2. Current Page Positioning</w:t>
      </w:r>
    </w:p>
    <w:p>
      <w:pPr>
        <w:pStyle w:val="Heading3"/>
        <w:spacing w:after="100" w:before="200"/>
      </w:pPr>
      <w:r>
        <w:t xml:space="preserve">What Zediant's site is moving toward (A/B)</w:t>
      </w:r>
    </w:p>
    <w:p>
      <w:pPr>
        <w:spacing w:after="100"/>
      </w:pPr>
      <w:r>
        <w:rPr>
          <w:b/>
          <w:bCs/>
          <w:color w:val="0B7DC4"/>
        </w:rPr>
        <w:t xml:space="preserve">A — </w:t>
      </w:r>
      <w:r>
        <w:t xml:space="preserve">The Homepage H1 is "Build. Modernize. Scale. Together," with the subhead "Experienced engineering teams working with you on developing reliable software – powered by AI, SOC 2 Type II compliant, and customized for your road map." Who We Are states: "Zediant was founded to bridge the gap between ambitious product roadmaps and engineering reality," and describes a "Product Engineering Mindset," "Senior-Led Engineering," and a "Pod-Based Delivery Model." Engineering Excellence documents a named six-phase delivery framework (Discovery &amp; Alignment → Architectural Blueprinting → AI-Augmented Development → Continuous QA &amp; Security → DevOps &amp; Deployment → Continuous Optimization).</w:t>
      </w:r>
    </w:p>
    <w:p>
      <w:pPr>
        <w:spacing w:after="100"/>
      </w:pPr>
      <w:r>
        <w:rPr>
          <w:b/>
          <w:bCs/>
          <w:color w:val="0B7DC4"/>
        </w:rPr>
        <w:t xml:space="preserve">B — </w:t>
      </w:r>
      <w:r>
        <w:t xml:space="preserve">Read together, these pages describe a consistent direction: Zediant wants to be known as a senior-led, product-minded engineering partner who happens to use AI to move faster — not as an AI vendor, and not as commodity outsourcing. The Dedicated Engineering Pods page is the clearest, most fully-realized expression of this direction (named pod roles: Strategist/Engine/Gatekeeper/Orchestrator; named tiers: Foundation/Growth/Enterprise Pod).</w:t>
      </w:r>
    </w:p>
    <w:p>
      <w:pPr>
        <w:spacing w:after="100"/>
      </w:pPr>
      <w:r>
        <w:rPr>
          <w:b/>
          <w:bCs/>
          <w:color w:val="0B7DC4"/>
        </w:rPr>
        <w:t xml:space="preserve">B — </w:t>
      </w:r>
      <w:r>
        <w:t xml:space="preserve">The AI-Enabled Product Engineering page has not kept pace with this direction. Its H1 and body copy read closer to a generic "AI development / platform architecture" vendor than to "product engineering partner who uses AI to deliver faster," which is the positioning the rest of the site — and Zediant's own internal policy — is converging on.</w:t>
      </w:r>
    </w:p>
    <w:p>
      <w:pPr>
        <w:pStyle w:val="Heading3"/>
        <w:spacing w:after="100" w:before="200"/>
      </w:pPr>
      <w:r>
        <w:t xml:space="preserve">Comparison to the target page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900"/>
        <w:gridCol w:w="1750"/>
      </w:tblGrid>
      <w:tr>
        <w:trPr>
          <w:tblHeader/>
        </w:trPr>
        <w:tc>
          <w:tcPr>
            <w:tcW w:type="dxa" w:w="2200"/>
            <w:shd w:fill="1F3864" w:val="clear"/>
            <w:tcMar>
              <w:top w:type="dxa" w:w="60"/>
              <w:left w:type="dxa" w:w="100"/>
              <w:bottom w:type="dxa" w:w="60"/>
              <w:right w:type="dxa" w:w="100"/>
            </w:tcMar>
          </w:tcPr>
          <w:p>
            <w:r>
              <w:rPr>
                <w:b/>
                <w:bCs/>
                <w:color w:val="FFFFFF"/>
                <w:sz w:val="18"/>
                <w:szCs w:val="18"/>
              </w:rPr>
              <w:t xml:space="preserve">Positioning element</w:t>
            </w:r>
          </w:p>
        </w:tc>
        <w:tc>
          <w:tcPr>
            <w:tcW w:type="dxa" w:w="2500"/>
            <w:shd w:fill="1F3864" w:val="clear"/>
            <w:tcMar>
              <w:top w:type="dxa" w:w="60"/>
              <w:left w:type="dxa" w:w="100"/>
              <w:bottom w:type="dxa" w:w="60"/>
              <w:right w:type="dxa" w:w="100"/>
            </w:tcMar>
          </w:tcPr>
          <w:p>
            <w:r>
              <w:rPr>
                <w:b/>
                <w:bCs/>
                <w:color w:val="FFFFFF"/>
                <w:sz w:val="18"/>
                <w:szCs w:val="18"/>
              </w:rPr>
              <w:t xml:space="preserve">Rest of site (A)</w:t>
            </w:r>
          </w:p>
        </w:tc>
        <w:tc>
          <w:tcPr>
            <w:tcW w:type="dxa" w:w="2900"/>
            <w:shd w:fill="1F3864" w:val="clear"/>
            <w:tcMar>
              <w:top w:type="dxa" w:w="60"/>
              <w:left w:type="dxa" w:w="100"/>
              <w:bottom w:type="dxa" w:w="60"/>
              <w:right w:type="dxa" w:w="100"/>
            </w:tcMar>
          </w:tcPr>
          <w:p>
            <w:r>
              <w:rPr>
                <w:b/>
                <w:bCs/>
                <w:color w:val="FFFFFF"/>
                <w:sz w:val="18"/>
                <w:szCs w:val="18"/>
              </w:rPr>
              <w:t xml:space="preserve">This page (A)</w:t>
            </w:r>
          </w:p>
        </w:tc>
        <w:tc>
          <w:tcPr>
            <w:tcW w:type="dxa" w:w="1750"/>
            <w:shd w:fill="1F3864" w:val="clear"/>
            <w:tcMar>
              <w:top w:type="dxa" w:w="60"/>
              <w:left w:type="dxa" w:w="100"/>
              <w:bottom w:type="dxa" w:w="60"/>
              <w:right w:type="dxa" w:w="100"/>
            </w:tcMar>
          </w:tcPr>
          <w:p>
            <w:r>
              <w:rPr>
                <w:b/>
                <w:bCs/>
                <w:color w:val="FFFFFF"/>
                <w:sz w:val="18"/>
                <w:szCs w:val="18"/>
              </w:rPr>
              <w:t xml:space="preserve">Gap (B)</w:t>
            </w:r>
          </w:p>
        </w:tc>
      </w:tr>
      <w:tr>
        <w:tc>
          <w:tcPr>
            <w:tcW w:type="dxa" w:w="2200"/>
            <w:tcMar>
              <w:top w:type="dxa" w:w="60"/>
              <w:left w:type="dxa" w:w="100"/>
              <w:bottom w:type="dxa" w:w="60"/>
              <w:right w:type="dxa" w:w="100"/>
            </w:tcMar>
          </w:tcPr>
          <w:p>
            <w:r>
              <w:rPr>
                <w:b w:val="false"/>
                <w:bCs w:val="false"/>
                <w:sz w:val="18"/>
                <w:szCs w:val="18"/>
              </w:rPr>
              <w:t xml:space="preserve">Core identity</w:t>
            </w:r>
          </w:p>
        </w:tc>
        <w:tc>
          <w:tcPr>
            <w:tcW w:type="dxa" w:w="2500"/>
            <w:tcMar>
              <w:top w:type="dxa" w:w="60"/>
              <w:left w:type="dxa" w:w="100"/>
              <w:bottom w:type="dxa" w:w="60"/>
              <w:right w:type="dxa" w:w="100"/>
            </w:tcMar>
          </w:tcPr>
          <w:p>
            <w:r>
              <w:rPr>
                <w:b w:val="false"/>
                <w:bCs w:val="false"/>
                <w:sz w:val="18"/>
                <w:szCs w:val="18"/>
              </w:rPr>
              <w:t xml:space="preserve">"Product Engineering Mindset," "extension of your engineering organization"</w:t>
            </w:r>
          </w:p>
        </w:tc>
        <w:tc>
          <w:tcPr>
            <w:tcW w:type="dxa" w:w="2900"/>
            <w:tcMar>
              <w:top w:type="dxa" w:w="60"/>
              <w:left w:type="dxa" w:w="100"/>
              <w:bottom w:type="dxa" w:w="60"/>
              <w:right w:type="dxa" w:w="100"/>
            </w:tcMar>
          </w:tcPr>
          <w:p>
            <w:r>
              <w:rPr>
                <w:b w:val="false"/>
                <w:bCs w:val="false"/>
                <w:sz w:val="18"/>
                <w:szCs w:val="18"/>
              </w:rPr>
              <w:t xml:space="preserve">"AI-First engineering firm," "Platform-first engineering approach"</w:t>
            </w:r>
          </w:p>
        </w:tc>
        <w:tc>
          <w:tcPr>
            <w:tcW w:type="dxa" w:w="1750"/>
            <w:tcMar>
              <w:top w:type="dxa" w:w="60"/>
              <w:left w:type="dxa" w:w="100"/>
              <w:bottom w:type="dxa" w:w="60"/>
              <w:right w:type="dxa" w:w="100"/>
            </w:tcMar>
          </w:tcPr>
          <w:p>
            <w:r>
              <w:rPr>
                <w:b w:val="false"/>
                <w:bCs w:val="false"/>
                <w:sz w:val="18"/>
                <w:szCs w:val="18"/>
              </w:rPr>
              <w:t xml:space="preserve">Page leads with AI/platform identity, not product-engineering identity</w:t>
            </w:r>
          </w:p>
        </w:tc>
      </w:tr>
      <w:tr>
        <w:tc>
          <w:tcPr>
            <w:tcW w:type="dxa" w:w="2200"/>
            <w:tcMar>
              <w:top w:type="dxa" w:w="60"/>
              <w:left w:type="dxa" w:w="100"/>
              <w:bottom w:type="dxa" w:w="60"/>
              <w:right w:type="dxa" w:w="100"/>
            </w:tcMar>
          </w:tcPr>
          <w:p>
            <w:r>
              <w:rPr>
                <w:b w:val="false"/>
                <w:bCs w:val="false"/>
                <w:sz w:val="18"/>
                <w:szCs w:val="18"/>
              </w:rPr>
              <w:t xml:space="preserve">AI framing</w:t>
            </w:r>
          </w:p>
        </w:tc>
        <w:tc>
          <w:tcPr>
            <w:tcW w:type="dxa" w:w="2500"/>
            <w:tcMar>
              <w:top w:type="dxa" w:w="60"/>
              <w:left w:type="dxa" w:w="100"/>
              <w:bottom w:type="dxa" w:w="60"/>
              <w:right w:type="dxa" w:w="100"/>
            </w:tcMar>
          </w:tcPr>
          <w:p>
            <w:r>
              <w:rPr>
                <w:b w:val="false"/>
                <w:bCs w:val="false"/>
                <w:sz w:val="18"/>
                <w:szCs w:val="18"/>
              </w:rPr>
              <w:t xml:space="preserve">"powered by AI" (means: used in delivery)</w:t>
            </w:r>
          </w:p>
        </w:tc>
        <w:tc>
          <w:tcPr>
            <w:tcW w:type="dxa" w:w="2900"/>
            <w:tcMar>
              <w:top w:type="dxa" w:w="60"/>
              <w:left w:type="dxa" w:w="100"/>
              <w:bottom w:type="dxa" w:w="60"/>
              <w:right w:type="dxa" w:w="100"/>
            </w:tcMar>
          </w:tcPr>
          <w:p>
            <w:r>
              <w:rPr>
                <w:b w:val="false"/>
                <w:bCs w:val="false"/>
                <w:sz w:val="18"/>
                <w:szCs w:val="18"/>
              </w:rPr>
              <w:t xml:space="preserve">"leverage Generative AI and Machine Learning" (hero); "custom Generative AI and LLM integrations" (capability card)</w:t>
            </w:r>
          </w:p>
        </w:tc>
        <w:tc>
          <w:tcPr>
            <w:tcW w:type="dxa" w:w="1750"/>
            <w:tcMar>
              <w:top w:type="dxa" w:w="60"/>
              <w:left w:type="dxa" w:w="100"/>
              <w:bottom w:type="dxa" w:w="60"/>
              <w:right w:type="dxa" w:w="100"/>
            </w:tcMar>
          </w:tcPr>
          <w:p>
            <w:r>
              <w:rPr>
                <w:b w:val="false"/>
                <w:bCs w:val="false"/>
                <w:sz w:val="18"/>
                <w:szCs w:val="18"/>
              </w:rPr>
              <w:t xml:space="preserve">Page implies AI is a shipped product feature, not (only) a delivery accelerant</w:t>
            </w:r>
          </w:p>
        </w:tc>
      </w:tr>
      <w:tr>
        <w:tc>
          <w:tcPr>
            <w:tcW w:type="dxa" w:w="2200"/>
            <w:tcMar>
              <w:top w:type="dxa" w:w="60"/>
              <w:left w:type="dxa" w:w="100"/>
              <w:bottom w:type="dxa" w:w="60"/>
              <w:right w:type="dxa" w:w="100"/>
            </w:tcMar>
          </w:tcPr>
          <w:p>
            <w:r>
              <w:rPr>
                <w:b w:val="false"/>
                <w:bCs w:val="false"/>
                <w:sz w:val="18"/>
                <w:szCs w:val="18"/>
              </w:rPr>
              <w:t xml:space="preserve">Proof</w:t>
            </w:r>
          </w:p>
        </w:tc>
        <w:tc>
          <w:tcPr>
            <w:tcW w:type="dxa" w:w="2500"/>
            <w:tcMar>
              <w:top w:type="dxa" w:w="60"/>
              <w:left w:type="dxa" w:w="100"/>
              <w:bottom w:type="dxa" w:w="60"/>
              <w:right w:type="dxa" w:w="100"/>
            </w:tcMar>
          </w:tcPr>
          <w:p>
            <w:r>
              <w:rPr>
                <w:b w:val="false"/>
                <w:bCs w:val="false"/>
                <w:sz w:val="18"/>
                <w:szCs w:val="18"/>
              </w:rPr>
              <w:t xml:space="preserve">Homepage carries 4 case studies + 4 testimonials + 8 client logos</w:t>
            </w:r>
          </w:p>
        </w:tc>
        <w:tc>
          <w:tcPr>
            <w:tcW w:type="dxa" w:w="2900"/>
            <w:tcMar>
              <w:top w:type="dxa" w:w="60"/>
              <w:left w:type="dxa" w:w="100"/>
              <w:bottom w:type="dxa" w:w="60"/>
              <w:right w:type="dxa" w:w="100"/>
            </w:tcMar>
          </w:tcPr>
          <w:p>
            <w:r>
              <w:rPr>
                <w:b w:val="false"/>
                <w:bCs w:val="false"/>
                <w:sz w:val="18"/>
                <w:szCs w:val="18"/>
              </w:rPr>
              <w:t xml:space="preserve">Zero case studies, testimonials, or logos</w:t>
            </w:r>
          </w:p>
        </w:tc>
        <w:tc>
          <w:tcPr>
            <w:tcW w:type="dxa" w:w="1750"/>
            <w:tcMar>
              <w:top w:type="dxa" w:w="60"/>
              <w:left w:type="dxa" w:w="100"/>
              <w:bottom w:type="dxa" w:w="60"/>
              <w:right w:type="dxa" w:w="100"/>
            </w:tcMar>
          </w:tcPr>
          <w:p>
            <w:r>
              <w:rPr>
                <w:b w:val="false"/>
                <w:bCs w:val="false"/>
                <w:sz w:val="18"/>
                <w:szCs w:val="18"/>
              </w:rPr>
              <w:t xml:space="preserve">No proof transfers onto the page that makes the biggest claim</w:t>
            </w:r>
          </w:p>
        </w:tc>
      </w:tr>
      <w:tr>
        <w:tc>
          <w:tcPr>
            <w:tcW w:type="dxa" w:w="2200"/>
            <w:tcMar>
              <w:top w:type="dxa" w:w="60"/>
              <w:left w:type="dxa" w:w="100"/>
              <w:bottom w:type="dxa" w:w="60"/>
              <w:right w:type="dxa" w:w="100"/>
            </w:tcMar>
          </w:tcPr>
          <w:p>
            <w:r>
              <w:rPr>
                <w:b w:val="false"/>
                <w:bCs w:val="false"/>
                <w:sz w:val="18"/>
                <w:szCs w:val="18"/>
              </w:rPr>
              <w:t xml:space="preserve">Audience framing</w:t>
            </w:r>
          </w:p>
        </w:tc>
        <w:tc>
          <w:tcPr>
            <w:tcW w:type="dxa" w:w="2500"/>
            <w:tcMar>
              <w:top w:type="dxa" w:w="60"/>
              <w:left w:type="dxa" w:w="100"/>
              <w:bottom w:type="dxa" w:w="60"/>
              <w:right w:type="dxa" w:w="100"/>
            </w:tcMar>
          </w:tcPr>
          <w:p>
            <w:r>
              <w:rPr>
                <w:b w:val="false"/>
                <w:bCs w:val="false"/>
                <w:sz w:val="18"/>
                <w:szCs w:val="18"/>
              </w:rPr>
              <w:t xml:space="preserve">Campaigns.md C1: "roadmap grows faster than the local senior talent market allows"</w:t>
            </w:r>
          </w:p>
        </w:tc>
        <w:tc>
          <w:tcPr>
            <w:tcW w:type="dxa" w:w="2900"/>
            <w:tcMar>
              <w:top w:type="dxa" w:w="60"/>
              <w:left w:type="dxa" w:w="100"/>
              <w:bottom w:type="dxa" w:w="60"/>
              <w:right w:type="dxa" w:w="100"/>
            </w:tcMar>
          </w:tcPr>
          <w:p>
            <w:r>
              <w:rPr>
                <w:b w:val="false"/>
                <w:bCs w:val="false"/>
                <w:sz w:val="18"/>
                <w:szCs w:val="18"/>
              </w:rPr>
              <w:t xml:space="preserve">"Enterprise Platforms... for PLCs and global brands"</w:t>
            </w:r>
          </w:p>
        </w:tc>
        <w:tc>
          <w:tcPr>
            <w:tcW w:type="dxa" w:w="1750"/>
            <w:tcMar>
              <w:top w:type="dxa" w:w="60"/>
              <w:left w:type="dxa" w:w="100"/>
              <w:bottom w:type="dxa" w:w="60"/>
              <w:right w:type="dxa" w:w="100"/>
            </w:tcMar>
          </w:tcPr>
          <w:p>
            <w:r>
              <w:rPr>
                <w:b w:val="false"/>
                <w:bCs w:val="false"/>
                <w:sz w:val="18"/>
                <w:szCs w:val="18"/>
              </w:rPr>
              <w:t xml:space="preserve">Roadmap-vs-headcount narrative (already written internally) is absent; a narrow "PLC" audience line appears instead</w:t>
            </w:r>
          </w:p>
        </w:tc>
      </w:tr>
    </w:tbl>
    <w:p>
      <w:pPr>
        <w:pStyle w:val="Heading3"/>
        <w:spacing w:after="100" w:before="200"/>
      </w:pPr>
      <w:r>
        <w:t xml:space="preserve">Recommendation (C)</w:t>
      </w:r>
    </w:p>
    <w:p>
      <w:pPr>
        <w:spacing w:after="160"/>
      </w:pPr>
      <w:r>
        <w:rPr>
          <w:b w:val="false"/>
          <w:bCs w:val="false"/>
          <w:i w:val="false"/>
          <w:iCs w:val="false"/>
        </w:rPr>
        <w:t xml:space="preserve">Reposition this page as "product engineering, accelerated by AI" (Option D in Section 8's framework below), explicitly borrowing the roadmap-vs-headcount narrative already written in campaigns.md, and bring it into the same confident, ownable-IP style as the Dedicated Engineering page rather than a generic AI/architecture vendor style.</w:t>
      </w:r>
    </w:p>
    <w:p>
      <w:pPr>
        <w:pStyle w:val="Heading1"/>
        <w:spacing w:after="200" w:before="400"/>
      </w:pPr>
      <w:r>
        <w:t xml:space="preserve">3. Target Customer Assessment</w:t>
      </w:r>
    </w:p>
    <w:p>
      <w:pPr>
        <w:spacing w:after="100"/>
      </w:pPr>
      <w:r>
        <w:rPr>
          <w:b/>
          <w:bCs/>
          <w:color w:val="0B7DC4"/>
        </w:rPr>
        <w:t xml:space="preserve">A — </w:t>
      </w:r>
      <w:r>
        <w:t xml:space="preserve">context/services.md documents this service's ideal customer as: SaaS, fintech, proptech, automotive, and enterprise platforms; 10–200 employees; Seed to Series B; decision makers CTO, Founder/CEO, VP Engineering, Head of Product. Buying signals: recent funding with a stated roadmap, a public platform rebuild/v2 announcement, competitors shipping AI features, hiring for platform/architecture roles, visible scaling pain.</w:t>
      </w:r>
    </w:p>
    <w:p>
      <w:pPr>
        <w:spacing w:after="100"/>
      </w:pPr>
      <w:r>
        <w:rPr>
          <w:b/>
          <w:bCs/>
          <w:color w:val="0B7DC4"/>
        </w:rPr>
        <w:t xml:space="preserve">B — </w:t>
      </w:r>
      <w:r>
        <w:t xml:space="preserve">The live page does not clearly target this buyer. Its language ("enterprise growth," "complexity of global markets," "PLCs and global brands," "most demanding sectors in the APAC region") skews toward a larger, more established company than the documented 10–200-employee, Seed-to-Series-B ICP. A founder or CTO of a 30-person, recently-funded SaaS company — the buyer this service is actually built for — would reasonably read this page and wonder if Zediant only works with much bigger companies.</w:t>
      </w:r>
    </w:p>
    <w:p>
      <w:pPr>
        <w:spacing w:after="100"/>
      </w:pPr>
      <w:r>
        <w:rPr>
          <w:b/>
          <w:bCs/>
          <w:color w:val="0B7DC4"/>
        </w:rPr>
        <w:t xml:space="preserve">B — </w:t>
      </w:r>
      <w:r>
        <w:t xml:space="preserve">There is also a geography inconsistency: the page states its footprint "spans the most demanding sectors in the APAC region," but the same page lists its delivery locations as Australia, UAE, and India — UAE is not part of APAC. This is a minor accuracy issue, but it compounds the sense that this page's copy was not written as carefully as the rest of the site.</w:t>
      </w:r>
    </w:p>
    <w:p>
      <w:pPr>
        <w:spacing w:after="100"/>
      </w:pPr>
      <w:r>
        <w:rPr>
          <w:b/>
          <w:bCs/>
          <w:color w:val="0B7DC4"/>
        </w:rPr>
        <w:t xml:space="preserve">C — </w:t>
      </w:r>
      <w:r>
        <w:t xml:space="preserve">Recalibrate the page's language toward the documented ICP: replace "enterprise growth" / "global markets" framing with the roadmap-vs-headcount, funded-and-scaling framing that already exists in campaigns.md, and fix the APAC/footprint mismatch.</w:t>
      </w:r>
    </w:p>
    <w:p>
      <w:pPr>
        <w:pStyle w:val="Heading1"/>
        <w:spacing w:after="200" w:before="400"/>
      </w:pPr>
      <w:r>
        <w:t xml:space="preserve">4. Buyer Perspective</w:t>
      </w:r>
    </w:p>
    <w:p>
      <w:pPr>
        <w:spacing w:after="160"/>
      </w:pPr>
      <w:r>
        <w:rPr>
          <w:b w:val="false"/>
          <w:bCs w:val="false"/>
          <w:i w:val="false"/>
          <w:iCs w:val="false"/>
        </w:rPr>
        <w:t xml:space="preserve">Persona used: CTO / VP Engineering / Head of Engineering / Founder at a 20–200 person SaaS, ISV, or technology company, evaluating whether their roadmap has outrun their engineering capacity, whether their platform needs to be rebuilt to scale, or whether to add AI-enabled capabilities.</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3300"/>
        <w:gridCol w:w="6350"/>
      </w:tblGrid>
      <w:tr>
        <w:trPr>
          <w:tblHeader/>
        </w:trPr>
        <w:tc>
          <w:tcPr>
            <w:tcW w:type="dxa" w:w="3300"/>
            <w:shd w:fill="1F3864" w:val="clear"/>
            <w:tcMar>
              <w:top w:type="dxa" w:w="60"/>
              <w:left w:type="dxa" w:w="100"/>
              <w:bottom w:type="dxa" w:w="60"/>
              <w:right w:type="dxa" w:w="100"/>
            </w:tcMar>
          </w:tcPr>
          <w:p>
            <w:r>
              <w:rPr>
                <w:b/>
                <w:bCs/>
                <w:color w:val="FFFFFF"/>
                <w:sz w:val="18"/>
                <w:szCs w:val="18"/>
              </w:rPr>
              <w:t xml:space="preserve">Buyer question</w:t>
            </w:r>
          </w:p>
        </w:tc>
        <w:tc>
          <w:tcPr>
            <w:tcW w:type="dxa" w:w="6350"/>
            <w:shd w:fill="1F3864" w:val="clear"/>
            <w:tcMar>
              <w:top w:type="dxa" w:w="60"/>
              <w:left w:type="dxa" w:w="100"/>
              <w:bottom w:type="dxa" w:w="60"/>
              <w:right w:type="dxa" w:w="100"/>
            </w:tcMar>
          </w:tcPr>
          <w:p>
            <w:r>
              <w:rPr>
                <w:b/>
                <w:bCs/>
                <w:color w:val="FFFFFF"/>
                <w:sz w:val="18"/>
                <w:szCs w:val="18"/>
              </w:rPr>
              <w:t xml:space="preserve">Answer on page today (B)</w:t>
            </w:r>
          </w:p>
        </w:tc>
      </w:tr>
      <w:tr>
        <w:tc>
          <w:tcPr>
            <w:tcW w:type="dxa" w:w="3300"/>
            <w:tcMar>
              <w:top w:type="dxa" w:w="60"/>
              <w:left w:type="dxa" w:w="100"/>
              <w:bottom w:type="dxa" w:w="60"/>
              <w:right w:type="dxa" w:w="100"/>
            </w:tcMar>
          </w:tcPr>
          <w:p>
            <w:r>
              <w:rPr>
                <w:b w:val="false"/>
                <w:bCs w:val="false"/>
                <w:sz w:val="18"/>
                <w:szCs w:val="18"/>
              </w:rPr>
              <w:t xml:space="preserve">Would I recognize my problem here?</w:t>
            </w:r>
          </w:p>
        </w:tc>
        <w:tc>
          <w:tcPr>
            <w:tcW w:type="dxa" w:w="6350"/>
            <w:tcMar>
              <w:top w:type="dxa" w:w="60"/>
              <w:left w:type="dxa" w:w="100"/>
              <w:bottom w:type="dxa" w:w="60"/>
              <w:right w:type="dxa" w:w="100"/>
            </w:tcMar>
          </w:tcPr>
          <w:p>
            <w:r>
              <w:rPr>
                <w:b w:val="false"/>
                <w:bCs w:val="false"/>
                <w:sz w:val="18"/>
                <w:szCs w:val="18"/>
              </w:rPr>
              <w:t xml:space="preserve">Partially. "Building Future-Ready Platforms" and the four differentiators describe capability, not a problem. The page never states a recognizable trigger (e.g. "roadmap outgrowing your team," "MVP that won't scale") the way the homepage and campaigns.md do.</w:t>
            </w:r>
          </w:p>
        </w:tc>
      </w:tr>
      <w:tr>
        <w:tc>
          <w:tcPr>
            <w:tcW w:type="dxa" w:w="3300"/>
            <w:tcMar>
              <w:top w:type="dxa" w:w="60"/>
              <w:left w:type="dxa" w:w="100"/>
              <w:bottom w:type="dxa" w:w="60"/>
              <w:right w:type="dxa" w:w="100"/>
            </w:tcMar>
          </w:tcPr>
          <w:p>
            <w:r>
              <w:rPr>
                <w:b w:val="false"/>
                <w:bCs w:val="false"/>
                <w:sz w:val="18"/>
                <w:szCs w:val="18"/>
              </w:rPr>
              <w:t xml:space="preserve">Would I understand exactly what Zediant would do?</w:t>
            </w:r>
          </w:p>
        </w:tc>
        <w:tc>
          <w:tcPr>
            <w:tcW w:type="dxa" w:w="6350"/>
            <w:tcMar>
              <w:top w:type="dxa" w:w="60"/>
              <w:left w:type="dxa" w:w="100"/>
              <w:bottom w:type="dxa" w:w="60"/>
              <w:right w:type="dxa" w:w="100"/>
            </w:tcMar>
          </w:tcPr>
          <w:p>
            <w:r>
              <w:rPr>
                <w:b w:val="false"/>
                <w:bCs w:val="false"/>
                <w:sz w:val="18"/>
                <w:szCs w:val="18"/>
              </w:rPr>
              <w:t xml:space="preserve">Partially. Four capability cards (SaaS Platform Development / AI Integration / Data-Driven Systems / API-First Architectures) describe outputs, but not process, team composition, or how engagement starts — unlike Dedicated Engineering, which names pod roles and tiers.</w:t>
            </w:r>
          </w:p>
        </w:tc>
      </w:tr>
      <w:tr>
        <w:tc>
          <w:tcPr>
            <w:tcW w:type="dxa" w:w="3300"/>
            <w:tcMar>
              <w:top w:type="dxa" w:w="60"/>
              <w:left w:type="dxa" w:w="100"/>
              <w:bottom w:type="dxa" w:w="60"/>
              <w:right w:type="dxa" w:w="100"/>
            </w:tcMar>
          </w:tcPr>
          <w:p>
            <w:r>
              <w:rPr>
                <w:b w:val="false"/>
                <w:bCs w:val="false"/>
                <w:sz w:val="18"/>
                <w:szCs w:val="18"/>
              </w:rPr>
              <w:t xml:space="preserve">Would I understand why Zediant is different?</w:t>
            </w:r>
          </w:p>
        </w:tc>
        <w:tc>
          <w:tcPr>
            <w:tcW w:type="dxa" w:w="6350"/>
            <w:tcMar>
              <w:top w:type="dxa" w:w="60"/>
              <w:left w:type="dxa" w:w="100"/>
              <w:bottom w:type="dxa" w:w="60"/>
              <w:right w:type="dxa" w:w="100"/>
            </w:tcMar>
          </w:tcPr>
          <w:p>
            <w:r>
              <w:rPr>
                <w:b w:val="false"/>
                <w:bCs w:val="false"/>
                <w:sz w:val="18"/>
                <w:szCs w:val="18"/>
              </w:rPr>
              <w:t xml:space="preserve">No. The differentiation from Platform Engineering, from a generic AI development shop, and from outsourcing is not made explicit anywhere on the page (see Section 7).</w:t>
            </w:r>
          </w:p>
        </w:tc>
      </w:tr>
      <w:tr>
        <w:tc>
          <w:tcPr>
            <w:tcW w:type="dxa" w:w="3300"/>
            <w:tcMar>
              <w:top w:type="dxa" w:w="60"/>
              <w:left w:type="dxa" w:w="100"/>
              <w:bottom w:type="dxa" w:w="60"/>
              <w:right w:type="dxa" w:w="100"/>
            </w:tcMar>
          </w:tcPr>
          <w:p>
            <w:r>
              <w:rPr>
                <w:b w:val="false"/>
                <w:bCs w:val="false"/>
                <w:sz w:val="18"/>
                <w:szCs w:val="18"/>
              </w:rPr>
              <w:t xml:space="preserve">Would I trust Zediant?</w:t>
            </w:r>
          </w:p>
        </w:tc>
        <w:tc>
          <w:tcPr>
            <w:tcW w:type="dxa" w:w="6350"/>
            <w:tcMar>
              <w:top w:type="dxa" w:w="60"/>
              <w:left w:type="dxa" w:w="100"/>
              <w:bottom w:type="dxa" w:w="60"/>
              <w:right w:type="dxa" w:w="100"/>
            </w:tcMar>
          </w:tcPr>
          <w:p>
            <w:r>
              <w:rPr>
                <w:b w:val="false"/>
                <w:bCs w:val="false"/>
                <w:sz w:val="18"/>
                <w:szCs w:val="18"/>
              </w:rPr>
              <w:t xml:space="preserve">Security trust signals are present and (on this page, in this pass) correctly worded. Delivery trust is weaker: zero case studies, zero named clients, zero testimonials on this specific page.</w:t>
            </w:r>
          </w:p>
        </w:tc>
      </w:tr>
      <w:tr>
        <w:tc>
          <w:tcPr>
            <w:tcW w:type="dxa" w:w="3300"/>
            <w:tcMar>
              <w:top w:type="dxa" w:w="60"/>
              <w:left w:type="dxa" w:w="100"/>
              <w:bottom w:type="dxa" w:w="60"/>
              <w:right w:type="dxa" w:w="100"/>
            </w:tcMar>
          </w:tcPr>
          <w:p>
            <w:r>
              <w:rPr>
                <w:b w:val="false"/>
                <w:bCs w:val="false"/>
                <w:sz w:val="18"/>
                <w:szCs w:val="18"/>
              </w:rPr>
              <w:t xml:space="preserve">Would I believe the claims?</w:t>
            </w:r>
          </w:p>
        </w:tc>
        <w:tc>
          <w:tcPr>
            <w:tcW w:type="dxa" w:w="6350"/>
            <w:tcMar>
              <w:top w:type="dxa" w:w="60"/>
              <w:left w:type="dxa" w:w="100"/>
              <w:bottom w:type="dxa" w:w="60"/>
              <w:right w:type="dxa" w:w="100"/>
            </w:tcMar>
          </w:tcPr>
          <w:p>
            <w:r>
              <w:rPr>
                <w:b w:val="false"/>
                <w:bCs w:val="false"/>
                <w:sz w:val="18"/>
                <w:szCs w:val="18"/>
              </w:rPr>
              <w:t xml:space="preserve">The 30–40% delivery claim is plausible and has an approved internal source, but is presented as a flat, unattributed fact rather than a company-reported result. "Custom Generative AI and LLM integrations" and "AI-First engineering firm" are harder to believe absent any proof, and are the claims most likely to trigger the exact portfolio questions Zediant's own policy warns cannot currently be answered.</w:t>
            </w:r>
          </w:p>
        </w:tc>
      </w:tr>
      <w:tr>
        <w:tc>
          <w:tcPr>
            <w:tcW w:type="dxa" w:w="3300"/>
            <w:tcMar>
              <w:top w:type="dxa" w:w="60"/>
              <w:left w:type="dxa" w:w="100"/>
              <w:bottom w:type="dxa" w:w="60"/>
              <w:right w:type="dxa" w:w="100"/>
            </w:tcMar>
          </w:tcPr>
          <w:p>
            <w:r>
              <w:rPr>
                <w:b w:val="false"/>
                <w:bCs w:val="false"/>
                <w:sz w:val="18"/>
                <w:szCs w:val="18"/>
              </w:rPr>
              <w:t xml:space="preserve">Would I understand what working with Zediant looks like?</w:t>
            </w:r>
          </w:p>
        </w:tc>
        <w:tc>
          <w:tcPr>
            <w:tcW w:type="dxa" w:w="6350"/>
            <w:tcMar>
              <w:top w:type="dxa" w:w="60"/>
              <w:left w:type="dxa" w:w="100"/>
              <w:bottom w:type="dxa" w:w="60"/>
              <w:right w:type="dxa" w:w="100"/>
            </w:tcMar>
          </w:tcPr>
          <w:p>
            <w:r>
              <w:rPr>
                <w:b w:val="false"/>
                <w:bCs w:val="false"/>
                <w:sz w:val="18"/>
                <w:szCs w:val="18"/>
              </w:rPr>
              <w:t xml:space="preserve">No. Unlike Dedicated Engineering (three named tiers), this page gives no engagement model, team structure, or typical timeline.</w:t>
            </w:r>
          </w:p>
        </w:tc>
      </w:tr>
      <w:tr>
        <w:tc>
          <w:tcPr>
            <w:tcW w:type="dxa" w:w="3300"/>
            <w:tcMar>
              <w:top w:type="dxa" w:w="60"/>
              <w:left w:type="dxa" w:w="100"/>
              <w:bottom w:type="dxa" w:w="60"/>
              <w:right w:type="dxa" w:w="100"/>
            </w:tcMar>
          </w:tcPr>
          <w:p>
            <w:r>
              <w:rPr>
                <w:b w:val="false"/>
                <w:bCs w:val="false"/>
                <w:sz w:val="18"/>
                <w:szCs w:val="18"/>
              </w:rPr>
              <w:t xml:space="preserve">Would I know what to do next?</w:t>
            </w:r>
          </w:p>
        </w:tc>
        <w:tc>
          <w:tcPr>
            <w:tcW w:type="dxa" w:w="6350"/>
            <w:tcMar>
              <w:top w:type="dxa" w:w="60"/>
              <w:left w:type="dxa" w:w="100"/>
              <w:bottom w:type="dxa" w:w="60"/>
              <w:right w:type="dxa" w:w="100"/>
            </w:tcMar>
          </w:tcPr>
          <w:p>
            <w:r>
              <w:rPr>
                <w:b w:val="false"/>
                <w:bCs w:val="false"/>
                <w:sz w:val="18"/>
                <w:szCs w:val="18"/>
              </w:rPr>
              <w:t xml:space="preserve">Yes, mechanically — the closing contact form is clear and low-friction. But the page offers at least four different calls to action with different verbs (Explore our AI Capabilities / Build Your AI-Enabled Platform Today / See Our All Services / Talk to our team), which dilutes which one a visitor should actually take.</w:t>
            </w:r>
          </w:p>
        </w:tc>
      </w:tr>
    </w:tbl>
    <w:p>
      <w:pPr>
        <w:pStyle w:val="Heading3"/>
        <w:spacing w:after="100" w:before="200"/>
      </w:pPr>
      <w:r>
        <w:t xml:space="preserve">BUYER QUESTIONS NOT CURRENTLY ANSWERED</w:t>
      </w:r>
    </w:p>
    <w:p>
      <w:pPr>
        <w:pStyle w:val="ListParagraph"/>
        <w:numPr>
          <w:ilvl w:val="0"/>
          <w:numId w:val="1"/>
        </w:numPr>
        <w:spacing w:after="60"/>
      </w:pPr>
      <w:r>
        <w:t xml:space="preserve">When you say "AI," do you mean you'll build AI features into my product, or that you use AI tools to build my product faster? (This is the single most important unanswered question — it is explicitly the first thing Zediant's own discovery-question list for this service asks a prospect, per context/services.md, yet the page's own hero copy answers it in the more aggressive direction: "leverage Generative AI and Machine Learning to drive competitive advantage.")</w:t>
      </w:r>
    </w:p>
    <w:p>
      <w:pPr>
        <w:pStyle w:val="ListParagraph"/>
        <w:numPr>
          <w:ilvl w:val="0"/>
          <w:numId w:val="1"/>
        </w:numPr>
        <w:spacing w:after="60"/>
      </w:pPr>
      <w:r>
        <w:t xml:space="preserve">Has Zediant actually shipped an AI/LLM feature for a client like me? (No case study answers this.)</w:t>
      </w:r>
    </w:p>
    <w:p>
      <w:pPr>
        <w:pStyle w:val="ListParagraph"/>
        <w:numPr>
          <w:ilvl w:val="0"/>
          <w:numId w:val="1"/>
        </w:numPr>
        <w:spacing w:after="60"/>
      </w:pPr>
      <w:r>
        <w:t xml:space="preserve">Who works on my project, and how is the team structured?</w:t>
      </w:r>
    </w:p>
    <w:p>
      <w:pPr>
        <w:pStyle w:val="ListParagraph"/>
        <w:numPr>
          <w:ilvl w:val="0"/>
          <w:numId w:val="1"/>
        </w:numPr>
        <w:spacing w:after="60"/>
      </w:pPr>
      <w:r>
        <w:t xml:space="preserve">What does a typical engagement look like — timeline, phases, pricing model?</w:t>
      </w:r>
    </w:p>
    <w:p>
      <w:pPr>
        <w:pStyle w:val="ListParagraph"/>
        <w:numPr>
          <w:ilvl w:val="0"/>
          <w:numId w:val="1"/>
        </w:numPr>
        <w:spacing w:after="60"/>
      </w:pPr>
      <w:r>
        <w:t xml:space="preserve">How is the 30–40% figure measured, and does it apply to a build like mine?</w:t>
      </w:r>
    </w:p>
    <w:p>
      <w:pPr>
        <w:pStyle w:val="ListParagraph"/>
        <w:numPr>
          <w:ilvl w:val="0"/>
          <w:numId w:val="1"/>
        </w:numPr>
        <w:spacing w:after="60"/>
      </w:pPr>
      <w:r>
        <w:t xml:space="preserve">What happens after the initial build — is there ongoing support, or is this a fixed handoff?</w:t>
      </w:r>
    </w:p>
    <w:p>
      <w:pPr>
        <w:pStyle w:val="ListParagraph"/>
        <w:numPr>
          <w:ilvl w:val="0"/>
          <w:numId w:val="1"/>
        </w:numPr>
        <w:spacing w:after="60"/>
      </w:pPr>
      <w:r>
        <w:t xml:space="preserve">How is this different from Platform Engineering, and how would I know which one I need?</w:t>
      </w:r>
    </w:p>
    <w:p>
      <w:pPr>
        <w:pStyle w:val="Heading1"/>
        <w:spacing w:after="200" w:before="400"/>
      </w:pPr>
      <w:r>
        <w:t xml:space="preserve">5. Hero Audit</w:t>
      </w:r>
    </w:p>
    <w:p>
      <w:pPr>
        <w:spacing w:after="160"/>
      </w:pPr>
      <w:r>
        <w:rPr>
          <w:b w:val="false"/>
          <w:bCs w:val="false"/>
          <w:i w:val="false"/>
          <w:iCs w:val="false"/>
        </w:rPr>
        <w:t xml:space="preserve">Live hero content (A), captured directly from the rendered page:</w:t>
      </w:r>
    </w:p>
    <w:p>
      <w:pPr>
        <w:pStyle w:val="ListParagraph"/>
        <w:numPr>
          <w:ilvl w:val="0"/>
          <w:numId w:val="1"/>
        </w:numPr>
        <w:spacing w:after="60"/>
      </w:pPr>
      <w:r>
        <w:t xml:space="preserve">Eyebrow/breadcrumb: "SERVICES" · "AI-ENABLED PRODUCT ENGINEERING"</w:t>
      </w:r>
    </w:p>
    <w:p>
      <w:pPr>
        <w:pStyle w:val="ListParagraph"/>
        <w:numPr>
          <w:ilvl w:val="0"/>
          <w:numId w:val="1"/>
        </w:numPr>
        <w:spacing w:after="60"/>
      </w:pPr>
      <w:r>
        <w:t xml:space="preserve">H1: "Build Intelligent Platforms with AI-Ready Architectures"</w:t>
      </w:r>
    </w:p>
    <w:p>
      <w:pPr>
        <w:pStyle w:val="ListParagraph"/>
        <w:numPr>
          <w:ilvl w:val="0"/>
          <w:numId w:val="1"/>
        </w:numPr>
        <w:spacing w:after="60"/>
      </w:pPr>
      <w:r>
        <w:t xml:space="preserve">Subhead: "We design and build scalable SaaS and Enterprise products that leverage Generative AI and Machine Learning to drive competitive advantage."</w:t>
      </w:r>
    </w:p>
    <w:p>
      <w:pPr>
        <w:pStyle w:val="ListParagraph"/>
        <w:numPr>
          <w:ilvl w:val="0"/>
          <w:numId w:val="1"/>
        </w:numPr>
        <w:spacing w:after="60"/>
      </w:pPr>
      <w:r>
        <w:t xml:space="preserve">Primary CTA button: "Explore our AI Capabilities"</w:t>
      </w:r>
    </w:p>
    <w:p>
      <w:pPr>
        <w:pStyle w:val="ListParagraph"/>
        <w:numPr>
          <w:ilvl w:val="0"/>
          <w:numId w:val="1"/>
        </w:numPr>
        <w:spacing w:after="60"/>
      </w:pPr>
      <w:r>
        <w:t xml:space="preserve">Trust strip directly under the hero image: "Australia | UAE | India | SOC 2 Type II Aligned"</w:t>
      </w:r>
    </w:p>
    <w:p>
      <w:pPr>
        <w:pStyle w:val="ListParagraph"/>
        <w:numPr>
          <w:ilvl w:val="0"/>
          <w:numId w:val="1"/>
        </w:numPr>
        <w:spacing w:after="60"/>
      </w:pPr>
      <w:r>
        <w:t xml:space="preserve">Hero visual: a stock-style isometric illustration of a smartphone with abstract 3D buildings and floating icons — decorative, not product- or outcome-specific.</w:t>
      </w:r>
    </w:p>
    <w:p>
      <w:pPr>
        <w:pStyle w:val="Heading3"/>
        <w:spacing w:after="100" w:before="200"/>
      </w:pPr>
      <w:r>
        <w:t xml:space="preserve">Answers to the audit questions</w:t>
      </w:r>
    </w:p>
    <w:p>
      <w:pPr>
        <w:spacing w:after="90"/>
      </w:pPr>
      <w:r>
        <w:rPr>
          <w:b/>
          <w:bCs/>
        </w:rPr>
        <w:t xml:space="preserve">1. Does the H1 clearly communicate the service?: </w:t>
      </w:r>
      <w:r>
        <w:t xml:space="preserve">Partially. It communicates "we build software platforms using AI-ready design," but never uses the words "product engineering," which is both the page's own name and its approved primary SEO term.</w:t>
      </w:r>
    </w:p>
    <w:p>
      <w:pPr>
        <w:spacing w:after="90"/>
      </w:pPr>
      <w:r>
        <w:rPr>
          <w:b/>
          <w:bCs/>
        </w:rPr>
        <w:t xml:space="preserve">2. Does it communicate the target customer/problem?: </w:t>
      </w:r>
      <w:r>
        <w:t xml:space="preserve">No. There is no stated trigger or buyer situation — contrast with, e.g., a headline built around a roadmap-vs-capacity problem.</w:t>
      </w:r>
    </w:p>
    <w:p>
      <w:pPr>
        <w:spacing w:after="90"/>
      </w:pPr>
      <w:r>
        <w:rPr>
          <w:b/>
          <w:bCs/>
        </w:rPr>
        <w:t xml:space="preserve">3. Is "AI-Enabled Product Engineering" immediately understandable?: </w:t>
      </w:r>
      <w:r>
        <w:t xml:space="preserve">The phrase itself does not appear in the H1 at all. A visitor arriving via that nav label or that search term does not see it echoed back to them.</w:t>
      </w:r>
    </w:p>
    <w:p>
      <w:pPr>
        <w:spacing w:after="90"/>
      </w:pPr>
      <w:r>
        <w:rPr>
          <w:b/>
          <w:bCs/>
        </w:rPr>
        <w:t xml:space="preserve">4. Is the phrase "AI" being used correctly?: </w:t>
      </w:r>
      <w:r>
        <w:t xml:space="preserve">The H1's "AI-Ready Architectures" is defensible — it describes architecture designed to support future AI adoption, which is documented and true. The subhead is not: "leverage Generative AI and Machine Learning to drive competitive advantage" reads as a promise that the product itself will use GenAI/ML, which is the exact claim context/services.md says has no client case study behind it.</w:t>
      </w:r>
    </w:p>
    <w:p>
      <w:pPr>
        <w:spacing w:after="90"/>
      </w:pPr>
      <w:r>
        <w:rPr>
          <w:b/>
          <w:bCs/>
        </w:rPr>
        <w:t xml:space="preserve">5. Does the hero sound like an AI company, an outsourcing company, or a product engineering partner?: </w:t>
      </w:r>
      <w:r>
        <w:t xml:space="preserve">Closest to an AI development company. Nothing in the hero signals "product engineering partner"; the isometric AI-city illustration reinforces a generic AI-vendor tone rather than an engineering-credibility tone.</w:t>
      </w:r>
    </w:p>
    <w:p>
      <w:pPr>
        <w:spacing w:after="90"/>
      </w:pPr>
      <w:r>
        <w:rPr>
          <w:b/>
          <w:bCs/>
        </w:rPr>
        <w:t xml:space="preserve">6. Is the business value clear?: </w:t>
      </w:r>
      <w:r>
        <w:t xml:space="preserve">No. "Scalable, secure, intelligent platforms" and "drive competitive advantage" are generic phrases that could appear on almost any technology vendor's homepage; they don't attach to a specific outcome a CTO would recognize (time-to-market, runway, roadmap velocity).</w:t>
      </w:r>
    </w:p>
    <w:p>
      <w:pPr>
        <w:spacing w:after="90"/>
      </w:pPr>
      <w:r>
        <w:rPr>
          <w:b/>
          <w:bCs/>
        </w:rPr>
        <w:t xml:space="preserve">7. Is the CTA appropriate for a high-value B2B engineering service?: </w:t>
      </w:r>
      <w:r>
        <w:t xml:space="preserve">"Explore our AI Capabilities" is a low-commitment, exploratory CTA, which is reasonable for a first-touch hero — but it undersells the service relative to the homepage's better-calibrated "Book a Strategy Session," and it isn't the same CTA used later on this same page ("Build Your AI-Enabled Platform Today"), so the page doesn't reinforce one clear next step.</w:t>
      </w:r>
    </w:p>
    <w:p>
      <w:pPr>
        <w:spacing w:after="90"/>
      </w:pPr>
      <w:r>
        <w:rPr>
          <w:b/>
          <w:bCs/>
        </w:rPr>
        <w:t xml:space="preserve">8. What should a visitor understand within 5 seconds?: </w:t>
      </w:r>
      <w:r>
        <w:t xml:space="preserve">Currently: "Zediant builds AI-powered software platforms." It should be: "Zediant is a product engineering partner that builds and scales your SaaS/product faster using AI-assisted delivery — not an AI development shop."</w:t>
      </w:r>
    </w:p>
    <w:p>
      <w:pPr>
        <w:spacing w:after="90"/>
      </w:pPr>
      <w:r>
        <w:rPr>
          <w:b/>
          <w:bCs/>
        </w:rPr>
        <w:t xml:space="preserve">9. What is currently unclear?: </w:t>
      </w:r>
      <w:r>
        <w:t xml:space="preserve">Whether Zediant will build AI/LLM features into the buyer's product, or use AI tooling to build the buyer's (non-AI) product faster. This is the exact ambiguity Zediant's own services.md calls the single largest risk on this service, and the hero currently resolves it in the direction the internal policy says not to lead with.</w:t>
      </w:r>
    </w:p>
    <w:p>
      <w:pPr>
        <w:spacing w:after="160"/>
      </w:pPr>
      <w:r>
        <w:rPr>
          <w:b w:val="false"/>
          <w:bCs w:val="false"/>
          <w:i w:val="false"/>
          <w:iCs w:val="false"/>
        </w:rPr>
        <w:t xml:space="preserve">No rewrite is proposed here, per the task's instructions — this is an audit only.</w:t>
      </w:r>
    </w:p>
    <w:p>
      <w:r>
        <w:br w:type="page"/>
      </w:r>
    </w:p>
    <w:p>
      <w:pPr>
        <w:pStyle w:val="Heading1"/>
        <w:spacing w:after="200" w:before="400"/>
      </w:pPr>
      <w:r>
        <w:t xml:space="preserve">6. Section-by-Section Content Audit</w:t>
      </w:r>
    </w:p>
    <w:p>
      <w:pPr>
        <w:spacing w:after="160"/>
      </w:pPr>
      <w:r>
        <w:rPr>
          <w:b w:val="false"/>
          <w:bCs w:val="false"/>
          <w:i w:val="false"/>
          <w:iCs w:val="false"/>
        </w:rPr>
        <w:t xml:space="preserve">Sections are listed in the order they currently appear on the live page.</w:t>
      </w:r>
    </w:p>
    <w:p>
      <w:pPr>
        <w:pStyle w:val="Heading3"/>
        <w:spacing w:after="100" w:before="200"/>
      </w:pPr>
      <w:r>
        <w:t xml:space="preserve">1. Hero ("Build Intelligent Platforms with AI-Ready Architectures")</w:t>
      </w:r>
    </w:p>
    <w:p>
      <w:pPr>
        <w:spacing w:after="90"/>
      </w:pPr>
      <w:r>
        <w:rPr>
          <w:b/>
          <w:bCs/>
        </w:rPr>
        <w:t xml:space="preserve">CURRENT PURPOSE: </w:t>
      </w:r>
      <w:r>
        <w:t xml:space="preserve">First-impression positioning and primary conversion moment.</w:t>
      </w:r>
    </w:p>
    <w:p>
      <w:pPr>
        <w:spacing w:after="90"/>
      </w:pPr>
      <w:r>
        <w:rPr>
          <w:b/>
          <w:bCs/>
        </w:rPr>
        <w:t xml:space="preserve">WHAT WORKS: </w:t>
      </w:r>
      <w:r>
        <w:t xml:space="preserve">Clean layout; trust strip (locations + SOC2) is a good above-the-fold credibility signal; CTA button is visually prominent.</w:t>
      </w:r>
    </w:p>
    <w:p>
      <w:pPr>
        <w:spacing w:after="90"/>
      </w:pPr>
      <w:r>
        <w:rPr>
          <w:b/>
          <w:bCs/>
        </w:rPr>
        <w:t xml:space="preserve">WHAT DOES NOT WORK: </w:t>
      </w:r>
      <w:r>
        <w:t xml:space="preserve">H1 omits "product engineering"; subhead overclaims GenAI/ML product depth; hero visual is generic decorative AI-city art with no product/outcome signal; CTA doesn't match the page's other, later CTA.</w:t>
      </w:r>
    </w:p>
    <w:p>
      <w:pPr>
        <w:spacing w:after="90"/>
      </w:pPr>
      <w:r>
        <w:rPr>
          <w:b/>
          <w:bCs/>
        </w:rPr>
        <w:t xml:space="preserve">BUSINESS VALUE: </w:t>
      </w:r>
      <w:r>
        <w:t xml:space="preserve">As written, attracts inquiries framed around AI capability the sales team cannot currently back with a case study — a lead-quality and expectation-setting risk, not just a copy issue.</w:t>
      </w:r>
    </w:p>
    <w:p>
      <w:pPr>
        <w:spacing w:after="90"/>
      </w:pPr>
      <w:r>
        <w:rPr>
          <w:b/>
          <w:bCs/>
        </w:rPr>
        <w:t xml:space="preserve">BUYER VALUE: </w:t>
      </w:r>
      <w:r>
        <w:t xml:space="preserve">Doesn't communicate a recognizable buyer problem or outcome.</w:t>
      </w:r>
    </w:p>
    <w:p>
      <w:pPr>
        <w:spacing w:after="90"/>
      </w:pPr>
      <w:r>
        <w:rPr>
          <w:b/>
          <w:bCs/>
        </w:rPr>
        <w:t xml:space="preserve">SEO VALUE: </w:t>
      </w:r>
      <w:r>
        <w:t xml:space="preserve">H1 doesn't reinforce the page's own approved primary keyword ("AI-enabled product engineering company").</w:t>
      </w:r>
    </w:p>
    <w:p>
      <w:pPr>
        <w:spacing w:after="90"/>
      </w:pPr>
      <w:r>
        <w:rPr>
          <w:b/>
          <w:bCs/>
        </w:rPr>
        <w:t xml:space="preserve">RECOMMENDATION: </w:t>
      </w:r>
      <w:r>
        <w:t xml:space="preserve">Rework H1 to include "product engineering"; qualify or remove the GenAI/ML product promise from the subhead; align CTA with the rest of the page.</w:t>
      </w:r>
    </w:p>
    <w:p>
      <w:pPr>
        <w:spacing w:after="240"/>
      </w:pPr>
      <w:r>
        <w:rPr>
          <w:b/>
          <w:bCs/>
        </w:rPr>
        <w:t xml:space="preserve">PRIORITY: </w:t>
      </w:r>
      <w:r>
        <w:rPr>
          <w:b/>
          <w:bCs/>
          <w:color w:val="C00000"/>
        </w:rPr>
        <w:t xml:space="preserve">P0</w:t>
      </w:r>
      <w:r>
        <w:rPr>
          <w:b/>
          <w:bCs/>
        </w:rPr>
        <w:t xml:space="preserve">   ACTION: </w:t>
      </w:r>
      <w:r>
        <w:rPr>
          <w:b/>
          <w:bCs/>
          <w:color w:val="0B7DC4"/>
        </w:rPr>
        <w:t xml:space="preserve">REWRITE</w:t>
      </w:r>
    </w:p>
    <w:p>
      <w:pPr>
        <w:pStyle w:val="Heading3"/>
        <w:spacing w:after="100" w:before="200"/>
      </w:pPr>
      <w:r>
        <w:t xml:space="preserve">2. "Building Future-Ready Platforms" (intro + 4 differentiators)</w:t>
      </w:r>
    </w:p>
    <w:p>
      <w:pPr>
        <w:spacing w:after="90"/>
      </w:pPr>
      <w:r>
        <w:rPr>
          <w:b/>
          <w:bCs/>
        </w:rPr>
        <w:t xml:space="preserve">CURRENT PURPOSE: </w:t>
      </w:r>
      <w:r>
        <w:t xml:space="preserve">Expand on the value proposition and list differentiators.</w:t>
      </w:r>
    </w:p>
    <w:p>
      <w:pPr>
        <w:spacing w:after="90"/>
      </w:pPr>
      <w:r>
        <w:rPr>
          <w:b/>
          <w:bCs/>
        </w:rPr>
        <w:t xml:space="preserve">WHAT WORKS: </w:t>
      </w:r>
      <w:r>
        <w:t xml:space="preserve">Differentiator list is scannable with clear check-icon bullets; "SOC 2 Type II aligned processes" uses correct wording.</w:t>
      </w:r>
    </w:p>
    <w:p>
      <w:pPr>
        <w:spacing w:after="90"/>
      </w:pPr>
      <w:r>
        <w:rPr>
          <w:b/>
          <w:bCs/>
        </w:rPr>
        <w:t xml:space="preserve">WHAT DOES NOT WORK: </w:t>
      </w:r>
      <w:r>
        <w:t xml:space="preserve">"Platform-first engineering approach (not just feature development)" reinforces platform framing over product framing, deepening overlap with the Platform Engineering page; no differentiator addresses AI scoping honestly, proof, or engagement model — the things buyers actually ask about.</w:t>
      </w:r>
    </w:p>
    <w:p>
      <w:pPr>
        <w:spacing w:after="90"/>
      </w:pPr>
      <w:r>
        <w:rPr>
          <w:b/>
          <w:bCs/>
        </w:rPr>
        <w:t xml:space="preserve">BUSINESS VALUE: </w:t>
      </w:r>
      <w:r>
        <w:t xml:space="preserve">Repeats capability without adding a reason to choose Zediant over a platform-engineering vendor or a generic AI shop.</w:t>
      </w:r>
    </w:p>
    <w:p>
      <w:pPr>
        <w:spacing w:after="90"/>
      </w:pPr>
      <w:r>
        <w:rPr>
          <w:b/>
          <w:bCs/>
        </w:rPr>
        <w:t xml:space="preserve">BUYER VALUE: </w:t>
      </w:r>
      <w:r>
        <w:t xml:space="preserve">Doesn't answer "why Zediant" beyond generic claims.</w:t>
      </w:r>
    </w:p>
    <w:p>
      <w:pPr>
        <w:spacing w:after="90"/>
      </w:pPr>
      <w:r>
        <w:rPr>
          <w:b/>
          <w:bCs/>
        </w:rPr>
        <w:t xml:space="preserve">SEO VALUE: </w:t>
      </w:r>
      <w:r>
        <w:t xml:space="preserve">"Platform-first" language competes with, rather than differentiates from, the Platform Engineering page's own target keyword.</w:t>
      </w:r>
    </w:p>
    <w:p>
      <w:pPr>
        <w:spacing w:after="90"/>
      </w:pPr>
      <w:r>
        <w:rPr>
          <w:b/>
          <w:bCs/>
        </w:rPr>
        <w:t xml:space="preserve">RECOMMENDATION: </w:t>
      </w:r>
      <w:r>
        <w:t xml:space="preserve">Replace "platform-first" framing with product-engineering framing; add a differentiator addressing honest AI scoping (this is explicitly documented in services.md as a real competitive advantage, and is currently unused anywhere on the page).</w:t>
      </w:r>
    </w:p>
    <w:p>
      <w:pPr>
        <w:spacing w:after="240"/>
      </w:pPr>
      <w:r>
        <w:rPr>
          <w:b/>
          <w:bCs/>
        </w:rPr>
        <w:t xml:space="preserve">PRIORITY: </w:t>
      </w:r>
      <w:r>
        <w:rPr>
          <w:b/>
          <w:bCs/>
          <w:color w:val="C55A11"/>
        </w:rPr>
        <w:t xml:space="preserve">P1</w:t>
      </w:r>
      <w:r>
        <w:rPr>
          <w:b/>
          <w:bCs/>
        </w:rPr>
        <w:t xml:space="preserve">   ACTION: </w:t>
      </w:r>
      <w:r>
        <w:rPr>
          <w:b/>
          <w:bCs/>
          <w:color w:val="0B7DC4"/>
        </w:rPr>
        <w:t xml:space="preserve">REWRITE</w:t>
      </w:r>
    </w:p>
    <w:p>
      <w:pPr>
        <w:pStyle w:val="Heading3"/>
        <w:spacing w:after="100" w:before="200"/>
      </w:pPr>
      <w:r>
        <w:t xml:space="preserve">3. "Our Strategic Capabilities" (SaaS Platform Development / AI Integration / Data-Driven Systems / API-First Architectures)</w:t>
      </w:r>
    </w:p>
    <w:p>
      <w:pPr>
        <w:spacing w:after="90"/>
      </w:pPr>
      <w:r>
        <w:rPr>
          <w:b/>
          <w:bCs/>
        </w:rPr>
        <w:t xml:space="preserve">CURRENT PURPOSE: </w:t>
      </w:r>
      <w:r>
        <w:t xml:space="preserve">Show the four capability pillars of the service.</w:t>
      </w:r>
    </w:p>
    <w:p>
      <w:pPr>
        <w:spacing w:after="90"/>
      </w:pPr>
      <w:r>
        <w:rPr>
          <w:b/>
          <w:bCs/>
        </w:rPr>
        <w:t xml:space="preserve">WHAT WORKS: </w:t>
      </w:r>
      <w:r>
        <w:t xml:space="preserve">Clean 2x2 card grid, good visual hierarchy, concise copy per card.</w:t>
      </w:r>
    </w:p>
    <w:p>
      <w:pPr>
        <w:spacing w:after="90"/>
      </w:pPr>
      <w:r>
        <w:rPr>
          <w:b/>
          <w:bCs/>
        </w:rPr>
        <w:t xml:space="preserve">WHAT DOES NOT WORK: </w:t>
      </w:r>
      <w:r>
        <w:t xml:space="preserve">The "AI Integration (LLMs &amp; Automation)" card states: "Embedding intelligence into your product core—from custom Generative AI and Large Language Model (LLM) integrations to complex workflow automation." This is a specific, concrete capability promise that context/services.md explicitly flags as having no documented client case study. This is the single highest-risk sentence on the page.</w:t>
      </w:r>
    </w:p>
    <w:p>
      <w:pPr>
        <w:spacing w:after="90"/>
      </w:pPr>
      <w:r>
        <w:rPr>
          <w:b/>
          <w:bCs/>
        </w:rPr>
        <w:t xml:space="preserve">BUSINESS VALUE: </w:t>
      </w:r>
      <w:r>
        <w:t xml:space="preserve">As written, this card actively invites the "show me a client where you did this" question the sales team cannot currently answer with proof — a real deal-risk, not just a wording nuance.</w:t>
      </w:r>
    </w:p>
    <w:p>
      <w:pPr>
        <w:spacing w:after="90"/>
      </w:pPr>
      <w:r>
        <w:rPr>
          <w:b/>
          <w:bCs/>
        </w:rPr>
        <w:t xml:space="preserve">BUYER VALUE: </w:t>
      </w:r>
      <w:r>
        <w:t xml:space="preserve">Buyers evaluating AI-feature work will over-trust this card relative to Zediant's actual documented evidence.</w:t>
      </w:r>
    </w:p>
    <w:p>
      <w:pPr>
        <w:spacing w:after="90"/>
      </w:pPr>
      <w:r>
        <w:rPr>
          <w:b/>
          <w:bCs/>
        </w:rPr>
        <w:t xml:space="preserve">SEO VALUE: </w:t>
      </w:r>
      <w:r>
        <w:t xml:space="preserve">"AI Integration" and "LLMs" are reasonable topical terms to hold, provided the claim underneath them is accurate.</w:t>
      </w:r>
    </w:p>
    <w:p>
      <w:pPr>
        <w:spacing w:after="90"/>
      </w:pPr>
      <w:r>
        <w:rPr>
          <w:b/>
          <w:bCs/>
        </w:rPr>
        <w:t xml:space="preserve">RECOMMENDATION: </w:t>
      </w:r>
      <w:r>
        <w:t xml:space="preserve">Reframe this card around AI-assisted delivery and AI-ready architecture (both documented, approved claims) rather than a flat promise of shipped GenAI/LLM product features. This does not mean removing AI from the page — it means matching the claim to the evidence, consistent with services.md's own "honest AI scoping" competitive advantage.</w:t>
      </w:r>
    </w:p>
    <w:p>
      <w:pPr>
        <w:spacing w:after="240"/>
      </w:pPr>
      <w:r>
        <w:rPr>
          <w:b/>
          <w:bCs/>
        </w:rPr>
        <w:t xml:space="preserve">PRIORITY: </w:t>
      </w:r>
      <w:r>
        <w:rPr>
          <w:b/>
          <w:bCs/>
          <w:color w:val="C00000"/>
        </w:rPr>
        <w:t xml:space="preserve">P0</w:t>
      </w:r>
      <w:r>
        <w:rPr>
          <w:b/>
          <w:bCs/>
        </w:rPr>
        <w:t xml:space="preserve">   ACTION: </w:t>
      </w:r>
      <w:r>
        <w:rPr>
          <w:b/>
          <w:bCs/>
          <w:color w:val="0B7DC4"/>
        </w:rPr>
        <w:t xml:space="preserve">REWRITE</w:t>
      </w:r>
    </w:p>
    <w:p>
      <w:pPr>
        <w:pStyle w:val="Heading3"/>
        <w:spacing w:after="100" w:before="200"/>
      </w:pPr>
      <w:r>
        <w:t xml:space="preserve">4. "AI Across the Development Lifecycle: 40% Faster Delivery" (Code Acceleration / Testing Automation / Smart Debugging / Knowledge Generation)</w:t>
      </w:r>
    </w:p>
    <w:p>
      <w:pPr>
        <w:spacing w:after="90"/>
      </w:pPr>
      <w:r>
        <w:rPr>
          <w:b/>
          <w:bCs/>
        </w:rPr>
        <w:t xml:space="preserve">CURRENT PURPOSE: </w:t>
      </w:r>
      <w:r>
        <w:t xml:space="preserve">Substantiate the delivery-speed claim with named AI-assisted practices.</w:t>
      </w:r>
    </w:p>
    <w:p>
      <w:pPr>
        <w:spacing w:after="90"/>
      </w:pPr>
      <w:r>
        <w:rPr>
          <w:b/>
          <w:bCs/>
        </w:rPr>
        <w:t xml:space="preserve">WHAT WORKS: </w:t>
      </w:r>
      <w:r>
        <w:t xml:space="preserve">This is the page's best section: four named, specific practices with plausible one-line descriptions; connects the abstract 30–40% figure to concrete mechanisms rather than leaving it unexplained.</w:t>
      </w:r>
    </w:p>
    <w:p>
      <w:pPr>
        <w:spacing w:after="90"/>
      </w:pPr>
      <w:r>
        <w:rPr>
          <w:b/>
          <w:bCs/>
        </w:rPr>
        <w:t xml:space="preserve">WHAT DOES NOT WORK: </w:t>
      </w:r>
      <w:r>
        <w:t xml:space="preserve">Intro line states "Zediant is an AI-First engineering firm" — the literal phrase internal policy (claims-and-compliance.md §5, services.md) instructs the team not to lead with. Stat is presented as an unqualified absolute ("This ensures a 30%–40% faster time-to-market") rather than attributed as company-reported. Also duplicated near-identically (structure and the same 30–40%/40% figure) on the Dedicated Engineering, Platform Engineering, and Enterprise Custom Development pages, which weakens its distinctiveness here specifically.</w:t>
      </w:r>
    </w:p>
    <w:p>
      <w:pPr>
        <w:spacing w:after="90"/>
      </w:pPr>
      <w:r>
        <w:rPr>
          <w:b/>
          <w:bCs/>
        </w:rPr>
        <w:t xml:space="preserve">BUSINESS VALUE: </w:t>
      </w:r>
      <w:r>
        <w:t xml:space="preserve">The underlying claim is real and approved (company.md documents it); the risk is entirely in how it's framed, not the number itself.</w:t>
      </w:r>
    </w:p>
    <w:p>
      <w:pPr>
        <w:spacing w:after="90"/>
      </w:pPr>
      <w:r>
        <w:rPr>
          <w:b/>
          <w:bCs/>
        </w:rPr>
        <w:t xml:space="preserve">BUYER VALUE: </w:t>
      </w:r>
      <w:r>
        <w:t xml:space="preserve">This is genuinely useful, concrete content for a technical buyer — the strongest single section on the page as-is.</w:t>
      </w:r>
    </w:p>
    <w:p>
      <w:pPr>
        <w:spacing w:after="90"/>
      </w:pPr>
      <w:r>
        <w:rPr>
          <w:b/>
          <w:bCs/>
        </w:rPr>
        <w:t xml:space="preserve">SEO VALUE: </w:t>
      </w:r>
      <w:r>
        <w:t xml:space="preserve">"40% Faster Delivery" is a strong SERP/snippet hook; keep it, but see Section 9 for the qualification recommendation.</w:t>
      </w:r>
    </w:p>
    <w:p>
      <w:pPr>
        <w:spacing w:after="90"/>
      </w:pPr>
      <w:r>
        <w:rPr>
          <w:b/>
          <w:bCs/>
        </w:rPr>
        <w:t xml:space="preserve">RECOMMENDATION: </w:t>
      </w:r>
      <w:r>
        <w:t xml:space="preserve">Remove or replace "AI-First engineering firm"; attribute the stat as company-reported; consider differentiating this section's framing from the equivalent sections on the other 3 service pages (e.g., tie explicitly to product/roadmap velocity here, vs. deployment velocity on Platform Engineering).</w:t>
      </w:r>
    </w:p>
    <w:p>
      <w:pPr>
        <w:spacing w:after="240"/>
      </w:pPr>
      <w:r>
        <w:rPr>
          <w:b/>
          <w:bCs/>
        </w:rPr>
        <w:t xml:space="preserve">PRIORITY: </w:t>
      </w:r>
      <w:r>
        <w:rPr>
          <w:b/>
          <w:bCs/>
          <w:color w:val="C55A11"/>
        </w:rPr>
        <w:t xml:space="preserve">P1</w:t>
      </w:r>
      <w:r>
        <w:rPr>
          <w:b/>
          <w:bCs/>
        </w:rPr>
        <w:t xml:space="preserve">   ACTION: </w:t>
      </w:r>
      <w:r>
        <w:rPr>
          <w:b/>
          <w:bCs/>
          <w:color w:val="0B7DC4"/>
        </w:rPr>
        <w:t xml:space="preserve">IMPROVE</w:t>
      </w:r>
    </w:p>
    <w:p>
      <w:pPr>
        <w:pStyle w:val="Heading3"/>
        <w:spacing w:after="100" w:before="200"/>
      </w:pPr>
      <w:r>
        <w:t xml:space="preserve">5. Mid-page CTA banner ("Ready to Engineer Your Competitive Advantage?")</w:t>
      </w:r>
    </w:p>
    <w:p>
      <w:pPr>
        <w:spacing w:after="90"/>
      </w:pPr>
      <w:r>
        <w:rPr>
          <w:b/>
          <w:bCs/>
        </w:rPr>
        <w:t xml:space="preserve">CURRENT PURPOSE: </w:t>
      </w:r>
      <w:r>
        <w:t xml:space="preserve">Secondary conversion point roughly halfway down the page.</w:t>
      </w:r>
    </w:p>
    <w:p>
      <w:pPr>
        <w:spacing w:after="90"/>
      </w:pPr>
      <w:r>
        <w:rPr>
          <w:b/>
          <w:bCs/>
        </w:rPr>
        <w:t xml:space="preserve">WHAT WORKS: </w:t>
      </w:r>
      <w:r>
        <w:t xml:space="preserve">Visually distinct (full-width color block), breaks up the page well, copy line ("balance between high-velocity AI innovation and enterprise-grade security") is a decent one-line summary of the page's actual differentiator.</w:t>
      </w:r>
    </w:p>
    <w:p>
      <w:pPr>
        <w:spacing w:after="90"/>
      </w:pPr>
      <w:r>
        <w:rPr>
          <w:b/>
          <w:bCs/>
        </w:rPr>
        <w:t xml:space="preserve">WHAT DOES NOT WORK: </w:t>
      </w:r>
      <w:r>
        <w:t xml:space="preserve">Introduces a third differently-worded CTA button ("Build Your AI-Enabled Platform Today") alongside the hero's "Explore our AI Capabilities" and the later "Talk to our team" — three CTA phrasings before the visitor has reached the bottom of the page.</w:t>
      </w:r>
    </w:p>
    <w:p>
      <w:pPr>
        <w:spacing w:after="90"/>
      </w:pPr>
      <w:r>
        <w:rPr>
          <w:b/>
          <w:bCs/>
        </w:rPr>
        <w:t xml:space="preserve">BUSINESS VALUE: </w:t>
      </w:r>
      <w:r>
        <w:t xml:space="preserve">A well-placed secondary conversion point is good practice; execution just needs consistency.</w:t>
      </w:r>
    </w:p>
    <w:p>
      <w:pPr>
        <w:spacing w:after="90"/>
      </w:pPr>
      <w:r>
        <w:rPr>
          <w:b/>
          <w:bCs/>
        </w:rPr>
        <w:t xml:space="preserve">BUYER VALUE: </w:t>
      </w:r>
      <w:r>
        <w:t xml:space="preserve">Gives an exploring visitor a natural, low-friction moment to act mid-scroll.</w:t>
      </w:r>
    </w:p>
    <w:p>
      <w:pPr>
        <w:spacing w:after="90"/>
      </w:pPr>
      <w:r>
        <w:rPr>
          <w:b/>
          <w:bCs/>
        </w:rPr>
        <w:t xml:space="preserve">SEO VALUE: </w:t>
      </w:r>
      <w:r>
        <w:t xml:space="preserve">Neutral.</w:t>
      </w:r>
    </w:p>
    <w:p>
      <w:pPr>
        <w:spacing w:after="90"/>
      </w:pPr>
      <w:r>
        <w:rPr>
          <w:b/>
          <w:bCs/>
        </w:rPr>
        <w:t xml:space="preserve">RECOMMENDATION: </w:t>
      </w:r>
      <w:r>
        <w:t xml:space="preserve">Keep placement; standardize CTA wording with the hero and footer CTA (see Section 12).</w:t>
      </w:r>
    </w:p>
    <w:p>
      <w:pPr>
        <w:spacing w:after="240"/>
      </w:pPr>
      <w:r>
        <w:rPr>
          <w:b/>
          <w:bCs/>
        </w:rPr>
        <w:t xml:space="preserve">PRIORITY: </w:t>
      </w:r>
      <w:r>
        <w:rPr>
          <w:b/>
          <w:bCs/>
          <w:color w:val="7F7F7F"/>
        </w:rPr>
        <w:t xml:space="preserve">P2</w:t>
      </w:r>
      <w:r>
        <w:rPr>
          <w:b/>
          <w:bCs/>
        </w:rPr>
        <w:t xml:space="preserve">   ACTION: </w:t>
      </w:r>
      <w:r>
        <w:rPr>
          <w:b/>
          <w:bCs/>
          <w:color w:val="0B7DC4"/>
        </w:rPr>
        <w:t xml:space="preserve">IMPROVE</w:t>
      </w:r>
    </w:p>
    <w:p>
      <w:pPr>
        <w:pStyle w:val="Heading3"/>
        <w:spacing w:after="100" w:before="200"/>
      </w:pPr>
      <w:r>
        <w:t xml:space="preserve">6. "Solutions for Industry DNA" (Automotive / SaaS / Fintech &amp; Payments / Enterprise Platforms)</w:t>
      </w:r>
    </w:p>
    <w:p>
      <w:pPr>
        <w:spacing w:after="90"/>
      </w:pPr>
      <w:r>
        <w:rPr>
          <w:b/>
          <w:bCs/>
        </w:rPr>
        <w:t xml:space="preserve">CURRENT PURPOSE: </w:t>
      </w:r>
      <w:r>
        <w:t xml:space="preserve">Show vertical-specific relevance.</w:t>
      </w:r>
    </w:p>
    <w:p>
      <w:pPr>
        <w:spacing w:after="90"/>
      </w:pPr>
      <w:r>
        <w:rPr>
          <w:b/>
          <w:bCs/>
        </w:rPr>
        <w:t xml:space="preserve">WHAT WORKS: </w:t>
      </w:r>
      <w:r>
        <w:t xml:space="preserve">Clean dark-themed card grid, good visual contrast from the sections around it, icons are appropriate per vertical.</w:t>
      </w:r>
    </w:p>
    <w:p>
      <w:pPr>
        <w:spacing w:after="90"/>
      </w:pPr>
      <w:r>
        <w:rPr>
          <w:b/>
          <w:bCs/>
        </w:rPr>
        <w:t xml:space="preserve">WHAT DOES NOT WORK: </w:t>
      </w:r>
      <w:r>
        <w:t xml:space="preserve">"Enterprise Platforms" card reads: "Delivering mission-critical internal systems for PLCs and global brands" — the same narrow "Public Limited Companies" audience framing already flagged as a positioning problem on the Enterprise Custom Development page now also appears here, unsupported by this page's own documented ICP (10–200 employees, Seed to Series B). Section intro also states the footprint "spans... the APAC region," which is geographically inconsistent with the page's own stated Australia/UAE/India presence (UAE is not APAC).</w:t>
      </w:r>
    </w:p>
    <w:p>
      <w:pPr>
        <w:spacing w:after="90"/>
      </w:pPr>
      <w:r>
        <w:rPr>
          <w:b/>
          <w:bCs/>
        </w:rPr>
        <w:t xml:space="preserve">BUSINESS VALUE: </w:t>
      </w:r>
      <w:r>
        <w:t xml:space="preserve">Vertical-specific framing is good sales practice when it matches the real ICP; here it partly narrows the page away from its own documented buyer.</w:t>
      </w:r>
    </w:p>
    <w:p>
      <w:pPr>
        <w:spacing w:after="90"/>
      </w:pPr>
      <w:r>
        <w:rPr>
          <w:b/>
          <w:bCs/>
        </w:rPr>
        <w:t xml:space="preserve">BUYER VALUE: </w:t>
      </w:r>
      <w:r>
        <w:t xml:space="preserve">A SaaS/fintech founder in the actual target range may read "PLCs and global brands" and self-select out.</w:t>
      </w:r>
    </w:p>
    <w:p>
      <w:pPr>
        <w:spacing w:after="90"/>
      </w:pPr>
      <w:r>
        <w:rPr>
          <w:b/>
          <w:bCs/>
        </w:rPr>
        <w:t xml:space="preserve">SEO VALUE: </w:t>
      </w:r>
      <w:r>
        <w:t xml:space="preserve">Vertical pages/terms are reasonable secondary-keyword targets.</w:t>
      </w:r>
    </w:p>
    <w:p>
      <w:pPr>
        <w:spacing w:after="90"/>
      </w:pPr>
      <w:r>
        <w:rPr>
          <w:b/>
          <w:bCs/>
        </w:rPr>
        <w:t xml:space="preserve">RECOMMENDATION: </w:t>
      </w:r>
      <w:r>
        <w:t xml:space="preserve">Rewrite the "Enterprise Platforms" card to remove the PLC-only framing; correct "APAC region" to the actual footprint description used elsewhere on the site.</w:t>
      </w:r>
    </w:p>
    <w:p>
      <w:pPr>
        <w:spacing w:after="240"/>
      </w:pPr>
      <w:r>
        <w:rPr>
          <w:b/>
          <w:bCs/>
        </w:rPr>
        <w:t xml:space="preserve">PRIORITY: </w:t>
      </w:r>
      <w:r>
        <w:rPr>
          <w:b/>
          <w:bCs/>
          <w:color w:val="C55A11"/>
        </w:rPr>
        <w:t xml:space="preserve">P1</w:t>
      </w:r>
      <w:r>
        <w:rPr>
          <w:b/>
          <w:bCs/>
        </w:rPr>
        <w:t xml:space="preserve">   ACTION: </w:t>
      </w:r>
      <w:r>
        <w:rPr>
          <w:b/>
          <w:bCs/>
          <w:color w:val="0B7DC4"/>
        </w:rPr>
        <w:t xml:space="preserve">IMPROVE</w:t>
      </w:r>
    </w:p>
    <w:p>
      <w:pPr>
        <w:pStyle w:val="Heading3"/>
        <w:spacing w:after="100" w:before="200"/>
      </w:pPr>
      <w:r>
        <w:t xml:space="preserve">7. "Enterprise-Grade Security: The Non-Negotiable Standard" (Six Pillars of Trust)</w:t>
      </w:r>
    </w:p>
    <w:p>
      <w:pPr>
        <w:spacing w:after="90"/>
      </w:pPr>
      <w:r>
        <w:rPr>
          <w:b/>
          <w:bCs/>
        </w:rPr>
        <w:t xml:space="preserve">CURRENT PURPOSE: </w:t>
      </w:r>
      <w:r>
        <w:t xml:space="preserve">Establish security/compliance credibility.</w:t>
      </w:r>
    </w:p>
    <w:p>
      <w:pPr>
        <w:spacing w:after="90"/>
      </w:pPr>
      <w:r>
        <w:rPr>
          <w:b/>
          <w:bCs/>
        </w:rPr>
        <w:t xml:space="preserve">WHAT WORKS: </w:t>
      </w:r>
      <w:r>
        <w:t xml:space="preserve">SOC 2 wording on this page, in this live pass, is used correctly and consistently ("SOC 2 Type II Aligned" throughout, no "Certified" instance found on this specific page today) — this is a genuine strength worth explicitly preserving, and an improvement worth noting against the sitewide SOC2-wording problem documented elsewhere in this project's prior audits.</w:t>
      </w:r>
    </w:p>
    <w:p>
      <w:pPr>
        <w:spacing w:after="90"/>
      </w:pPr>
      <w:r>
        <w:rPr>
          <w:b/>
          <w:bCs/>
        </w:rPr>
        <w:t xml:space="preserve">WHAT DOES NOT WORK: </w:t>
      </w:r>
      <w:r>
        <w:t xml:space="preserve">Two overclaiming phrases remain live: "Unlike standard offshore firms, our entire ecosystem is externally audited to guarantee maximum security and confidentiality" (an absolute "guarantee" claim, and an unflattering, unnecessary comparison to "standard offshore firms" that is also, awkwardly, a category Zediant's own India/UAE delivery model sits within); and, at the very end of the page, "We've passed the toughest security audit, proving our system is like Fort Knox for your data" — an unqualified, hyperbolic claim independent of the (correctly worded) SOC2 label right next to it.</w:t>
      </w:r>
    </w:p>
    <w:p>
      <w:pPr>
        <w:spacing w:after="90"/>
      </w:pPr>
      <w:r>
        <w:rPr>
          <w:b/>
          <w:bCs/>
        </w:rPr>
        <w:t xml:space="preserve">BUSINESS VALUE: </w:t>
      </w:r>
      <w:r>
        <w:t xml:space="preserve">Overclaiming here creates the exact enterprise-procurement risk a security section exists to prevent — a sophisticated buyer's security/legal reviewer is the audience most likely to test an absolute claim like "guarantee" or "Fort Knox."</w:t>
      </w:r>
    </w:p>
    <w:p>
      <w:pPr>
        <w:spacing w:after="90"/>
      </w:pPr>
      <w:r>
        <w:rPr>
          <w:b/>
          <w:bCs/>
        </w:rPr>
        <w:t xml:space="preserve">BUYER VALUE: </w:t>
      </w:r>
      <w:r>
        <w:t xml:space="preserve">Buyers evaluating vendor risk want precise, verifiable claims; hyperbole undermines the more careful "Aligned" wording sitting right next to it.</w:t>
      </w:r>
    </w:p>
    <w:p>
      <w:pPr>
        <w:spacing w:after="90"/>
      </w:pPr>
      <w:r>
        <w:rPr>
          <w:b/>
          <w:bCs/>
        </w:rPr>
        <w:t xml:space="preserve">SEO VALUE: </w:t>
      </w:r>
      <w:r>
        <w:t xml:space="preserve">SOC2/security terms are valuable secondary keywords; precision doesn't cost SEO value here.</w:t>
      </w:r>
    </w:p>
    <w:p>
      <w:pPr>
        <w:spacing w:after="90"/>
      </w:pPr>
      <w:r>
        <w:rPr>
          <w:b/>
          <w:bCs/>
        </w:rPr>
        <w:t xml:space="preserve">RECOMMENDATION: </w:t>
      </w:r>
      <w:r>
        <w:t xml:space="preserve">Keep the "Aligned" wording and the six-pillar structure; remove or soften "guarantee maximum security," the "standard offshore firms" comparison, and the "Fort Knox"/"toughest security audit" line.</w:t>
      </w:r>
    </w:p>
    <w:p>
      <w:pPr>
        <w:spacing w:after="240"/>
      </w:pPr>
      <w:r>
        <w:rPr>
          <w:b/>
          <w:bCs/>
        </w:rPr>
        <w:t xml:space="preserve">PRIORITY: </w:t>
      </w:r>
      <w:r>
        <w:rPr>
          <w:b/>
          <w:bCs/>
          <w:color w:val="C55A11"/>
        </w:rPr>
        <w:t xml:space="preserve">P1</w:t>
      </w:r>
      <w:r>
        <w:rPr>
          <w:b/>
          <w:bCs/>
        </w:rPr>
        <w:t xml:space="preserve">   ACTION: </w:t>
      </w:r>
      <w:r>
        <w:rPr>
          <w:b/>
          <w:bCs/>
          <w:color w:val="0B7DC4"/>
        </w:rPr>
        <w:t xml:space="preserve">IMPROVE</w:t>
      </w:r>
    </w:p>
    <w:p>
      <w:pPr>
        <w:pStyle w:val="Heading3"/>
        <w:spacing w:after="100" w:before="200"/>
      </w:pPr>
      <w:r>
        <w:t xml:space="preserve">8. "Global Engineering Presence" (Australia | UAE | India)</w:t>
      </w:r>
    </w:p>
    <w:p>
      <w:pPr>
        <w:spacing w:after="90"/>
      </w:pPr>
      <w:r>
        <w:rPr>
          <w:b/>
          <w:bCs/>
        </w:rPr>
        <w:t xml:space="preserve">CURRENT PURPOSE: </w:t>
      </w:r>
      <w:r>
        <w:t xml:space="preserve">Reinforce delivery-model credibility (time zones, distributed team).</w:t>
      </w:r>
    </w:p>
    <w:p>
      <w:pPr>
        <w:spacing w:after="90"/>
      </w:pPr>
      <w:r>
        <w:rPr>
          <w:b/>
          <w:bCs/>
        </w:rPr>
        <w:t xml:space="preserve">WHAT WORKS: </w:t>
      </w:r>
      <w:r>
        <w:t xml:space="preserve">Clear, factual, appropriately modest claims ("seamless collaboration across time zones," "faster delivery cycles") — no overclaiming found in this section.</w:t>
      </w:r>
    </w:p>
    <w:p>
      <w:pPr>
        <w:spacing w:after="90"/>
      </w:pPr>
      <w:r>
        <w:rPr>
          <w:b/>
          <w:bCs/>
        </w:rPr>
        <w:t xml:space="preserve">WHAT DOES NOT WORK: </w:t>
      </w:r>
      <w:r>
        <w:t xml:space="preserve">Nothing significant; minor overlap with the same section appearing on the other three service pages (structural duplication, not a content error).</w:t>
      </w:r>
    </w:p>
    <w:p>
      <w:pPr>
        <w:spacing w:after="90"/>
      </w:pPr>
      <w:r>
        <w:rPr>
          <w:b/>
          <w:bCs/>
        </w:rPr>
        <w:t xml:space="preserve">BUSINESS VALUE: </w:t>
      </w:r>
      <w:r>
        <w:t xml:space="preserve">Reasonable, low-risk trust content.</w:t>
      </w:r>
    </w:p>
    <w:p>
      <w:pPr>
        <w:spacing w:after="90"/>
      </w:pPr>
      <w:r>
        <w:rPr>
          <w:b/>
          <w:bCs/>
        </w:rPr>
        <w:t xml:space="preserve">BUYER VALUE: </w:t>
      </w:r>
      <w:r>
        <w:t xml:space="preserve">Answers "where is my team," a real buyer question.</w:t>
      </w:r>
    </w:p>
    <w:p>
      <w:pPr>
        <w:spacing w:after="90"/>
      </w:pPr>
      <w:r>
        <w:rPr>
          <w:b/>
          <w:bCs/>
        </w:rPr>
        <w:t xml:space="preserve">SEO VALUE: </w:t>
      </w:r>
      <w:r>
        <w:t xml:space="preserve">Neutral.</w:t>
      </w:r>
    </w:p>
    <w:p>
      <w:pPr>
        <w:spacing w:after="90"/>
      </w:pPr>
      <w:r>
        <w:rPr>
          <w:b/>
          <w:bCs/>
        </w:rPr>
        <w:t xml:space="preserve">RECOMMENDATION: </w:t>
      </w:r>
      <w:r>
        <w:t xml:space="preserve">Keep as-is.</w:t>
      </w:r>
    </w:p>
    <w:p>
      <w:pPr>
        <w:spacing w:after="240"/>
      </w:pPr>
      <w:r>
        <w:rPr>
          <w:b/>
          <w:bCs/>
        </w:rPr>
        <w:t xml:space="preserve">PRIORITY: </w:t>
      </w:r>
      <w:r>
        <w:rPr>
          <w:b/>
          <w:bCs/>
          <w:color w:val="7F7F7F"/>
        </w:rPr>
        <w:t xml:space="preserve">KEEP</w:t>
      </w:r>
      <w:r>
        <w:rPr>
          <w:b/>
          <w:bCs/>
        </w:rPr>
        <w:t xml:space="preserve">   ACTION: </w:t>
      </w:r>
      <w:r>
        <w:rPr>
          <w:b/>
          <w:bCs/>
          <w:color w:val="0B7DC4"/>
        </w:rPr>
        <w:t xml:space="preserve">KEEP</w:t>
      </w:r>
    </w:p>
    <w:p>
      <w:pPr>
        <w:pStyle w:val="Heading3"/>
        <w:spacing w:after="100" w:before="200"/>
      </w:pPr>
      <w:r>
        <w:t xml:space="preserve">9. Closing CTA / contact form ("Let's Get Connected" / "Quit scrolling. Let's connect.")</w:t>
      </w:r>
    </w:p>
    <w:p>
      <w:pPr>
        <w:spacing w:after="90"/>
      </w:pPr>
      <w:r>
        <w:rPr>
          <w:b/>
          <w:bCs/>
        </w:rPr>
        <w:t xml:space="preserve">CURRENT PURPOSE: </w:t>
      </w:r>
      <w:r>
        <w:t xml:space="preserve">Final, primary conversion mechanism.</w:t>
      </w:r>
    </w:p>
    <w:p>
      <w:pPr>
        <w:spacing w:after="90"/>
      </w:pPr>
      <w:r>
        <w:rPr>
          <w:b/>
          <w:bCs/>
        </w:rPr>
        <w:t xml:space="preserve">WHAT WORKS: </w:t>
      </w:r>
      <w:r>
        <w:t xml:space="preserve">The actual form (name, email, company, company size, country, message, consent checkbox, "Talk to our team" submit) is well-designed for a considered B2B sale — low friction, appropriately detailed, not a hard "buy now" ask. "Quit scrolling. Let's connect." is a nice, human closing line.</w:t>
      </w:r>
    </w:p>
    <w:p>
      <w:pPr>
        <w:spacing w:after="90"/>
      </w:pPr>
      <w:r>
        <w:rPr>
          <w:b/>
          <w:bCs/>
        </w:rPr>
        <w:t xml:space="preserve">WHAT DOES NOT WORK: </w:t>
      </w:r>
      <w:r>
        <w:t xml:space="preserve">Repeats the "Fort Knox"/"toughest security audit" overclaim (see Section 7) directly above the form — the last thing a visitor reads before converting is the page's least credible sentence.</w:t>
      </w:r>
    </w:p>
    <w:p>
      <w:pPr>
        <w:spacing w:after="90"/>
      </w:pPr>
      <w:r>
        <w:rPr>
          <w:b/>
          <w:bCs/>
        </w:rPr>
        <w:t xml:space="preserve">BUSINESS VALUE: </w:t>
      </w:r>
      <w:r>
        <w:t xml:space="preserve">The form itself is a genuinely good conversion asset once the copy above it is fixed.</w:t>
      </w:r>
    </w:p>
    <w:p>
      <w:pPr>
        <w:spacing w:after="90"/>
      </w:pPr>
      <w:r>
        <w:rPr>
          <w:b/>
          <w:bCs/>
        </w:rPr>
        <w:t xml:space="preserve">BUYER VALUE: </w:t>
      </w:r>
      <w:r>
        <w:t xml:space="preserve">Clear final next step.</w:t>
      </w:r>
    </w:p>
    <w:p>
      <w:pPr>
        <w:spacing w:after="90"/>
      </w:pPr>
      <w:r>
        <w:rPr>
          <w:b/>
          <w:bCs/>
        </w:rPr>
        <w:t xml:space="preserve">SEO VALUE: </w:t>
      </w:r>
      <w:r>
        <w:t xml:space="preserve">Neutral.</w:t>
      </w:r>
    </w:p>
    <w:p>
      <w:pPr>
        <w:spacing w:after="90"/>
      </w:pPr>
      <w:r>
        <w:rPr>
          <w:b/>
          <w:bCs/>
        </w:rPr>
        <w:t xml:space="preserve">RECOMMENDATION: </w:t>
      </w:r>
      <w:r>
        <w:t xml:space="preserve">Keep the form; fix the copy immediately above it (see Section 7).</w:t>
      </w:r>
    </w:p>
    <w:p>
      <w:pPr>
        <w:spacing w:after="240"/>
      </w:pPr>
      <w:r>
        <w:rPr>
          <w:b/>
          <w:bCs/>
        </w:rPr>
        <w:t xml:space="preserve">PRIORITY: </w:t>
      </w:r>
      <w:r>
        <w:rPr>
          <w:b/>
          <w:bCs/>
          <w:color w:val="C55A11"/>
        </w:rPr>
        <w:t xml:space="preserve">P1</w:t>
      </w:r>
      <w:r>
        <w:rPr>
          <w:b/>
          <w:bCs/>
        </w:rPr>
        <w:t xml:space="preserve">   ACTION: </w:t>
      </w:r>
      <w:r>
        <w:rPr>
          <w:b/>
          <w:bCs/>
          <w:color w:val="0B7DC4"/>
        </w:rPr>
        <w:t xml:space="preserve">IMPROVE</w:t>
      </w:r>
    </w:p>
    <w:p>
      <w:r>
        <w:br w:type="page"/>
      </w:r>
    </w:p>
    <w:p>
      <w:pPr>
        <w:pStyle w:val="Heading1"/>
        <w:spacing w:after="200" w:before="400"/>
      </w:pPr>
      <w:r>
        <w:t xml:space="preserve">7. Content Structure</w:t>
      </w:r>
    </w:p>
    <w:p>
      <w:pPr>
        <w:spacing w:after="160"/>
      </w:pPr>
      <w:r>
        <w:rPr>
          <w:b w:val="false"/>
          <w:bCs w:val="false"/>
          <w:i w:val="false"/>
          <w:iCs w:val="false"/>
        </w:rPr>
        <w:t xml:space="preserve">Current sequence (A): Hero → Differentiators → Capabilities → AI-Lifecycle stat block → Mid-page CTA → Industry verticals → Security pillars → Global presence → Contact form.</w:t>
      </w:r>
    </w:p>
    <w:p>
      <w:pPr>
        <w:spacing w:after="160"/>
      </w:pPr>
      <w:r>
        <w:rPr>
          <w:b w:val="false"/>
          <w:bCs w:val="false"/>
          <w:i w:val="false"/>
          <w:iCs w:val="false"/>
        </w:rPr>
        <w:t xml:space="preserve">Compared against an effective problem→solution→proof→trust→engagement→CTA sequence (B):</w:t>
      </w:r>
    </w:p>
    <w:p>
      <w:pPr>
        <w:pStyle w:val="ListParagraph"/>
        <w:numPr>
          <w:ilvl w:val="0"/>
          <w:numId w:val="1"/>
        </w:numPr>
        <w:spacing w:after="60"/>
      </w:pPr>
      <w:r>
        <w:t xml:space="preserve">Missing entirely: a stated buyer problem/trigger (the page opens straight into capability, never names "roadmap outgrowing your team" or similar — even though this exact framing exists, unused, in campaigns.md).</w:t>
      </w:r>
    </w:p>
    <w:p>
      <w:pPr>
        <w:pStyle w:val="ListParagraph"/>
        <w:numPr>
          <w:ilvl w:val="0"/>
          <w:numId w:val="1"/>
        </w:numPr>
        <w:spacing w:after="60"/>
      </w:pPr>
      <w:r>
        <w:t xml:space="preserve">Missing entirely: proof (no case study or testimonial anywhere on the page — see Section 10).</w:t>
      </w:r>
    </w:p>
    <w:p>
      <w:pPr>
        <w:pStyle w:val="ListParagraph"/>
        <w:numPr>
          <w:ilvl w:val="0"/>
          <w:numId w:val="1"/>
        </w:numPr>
        <w:spacing w:after="60"/>
      </w:pPr>
      <w:r>
        <w:t xml:space="preserve">Missing entirely: an engagement model / "what working together looks like" section (present on Dedicated Engineering as three named tiers; absent here).</w:t>
      </w:r>
    </w:p>
    <w:p>
      <w:pPr>
        <w:pStyle w:val="ListParagraph"/>
        <w:numPr>
          <w:ilvl w:val="0"/>
          <w:numId w:val="1"/>
        </w:numPr>
        <w:spacing w:after="60"/>
      </w:pPr>
      <w:r>
        <w:t xml:space="preserve">Appearing too early relative to its evidentiary weight: the GenAI/LLM capability claim sits in the hero, before any context that would let a buyer calibrate it.</w:t>
      </w:r>
    </w:p>
    <w:p>
      <w:pPr>
        <w:pStyle w:val="ListParagraph"/>
        <w:numPr>
          <w:ilvl w:val="0"/>
          <w:numId w:val="1"/>
        </w:numPr>
        <w:spacing w:after="60"/>
      </w:pPr>
      <w:r>
        <w:t xml:space="preserve">Appearing in a reasonable place already: security/trust (near the end, before the CTA, is a defensible position for this buyer type) and global presence.</w:t>
      </w:r>
    </w:p>
    <w:p>
      <w:pPr>
        <w:pStyle w:val="ListParagraph"/>
        <w:numPr>
          <w:ilvl w:val="0"/>
          <w:numId w:val="1"/>
        </w:numPr>
        <w:spacing w:after="60"/>
      </w:pPr>
      <w:r>
        <w:t xml:space="preserve">Repetitive: the security section and the closing CTA both restate strong claims (aligned wording is fine repeated; the "Fort Knox" line repeating unqualified hyperbole is not).</w:t>
      </w:r>
    </w:p>
    <w:p>
      <w:pPr>
        <w:pStyle w:val="Heading3"/>
        <w:spacing w:after="100" w:before="200"/>
      </w:pPr>
      <w:r>
        <w:t xml:space="preserve">Recommended improved hierarchy (C) — structure only, not rewritten copy</w:t>
      </w:r>
    </w:p>
    <w:p>
      <w:pPr>
        <w:pStyle w:val="ListParagraph"/>
        <w:numPr>
          <w:ilvl w:val="0"/>
          <w:numId w:val="1"/>
        </w:numPr>
        <w:spacing w:after="60"/>
      </w:pPr>
      <w:r>
        <w:t xml:space="preserve">Hero (product-engineering-led, AI as the accelerant, not the product)</w:t>
      </w:r>
    </w:p>
    <w:p>
      <w:pPr>
        <w:pStyle w:val="ListParagraph"/>
        <w:numPr>
          <w:ilvl w:val="0"/>
          <w:numId w:val="1"/>
        </w:numPr>
        <w:spacing w:after="60"/>
      </w:pPr>
      <w:r>
        <w:t xml:space="preserve">The problem this solves — roadmap vs. headcount / rebuild-for-scale (new)</w:t>
      </w:r>
    </w:p>
    <w:p>
      <w:pPr>
        <w:pStyle w:val="ListParagraph"/>
        <w:numPr>
          <w:ilvl w:val="0"/>
          <w:numId w:val="1"/>
        </w:numPr>
        <w:spacing w:after="60"/>
      </w:pPr>
      <w:r>
        <w:t xml:space="preserve">What Zediant provides (reframed capabilities)</w:t>
      </w:r>
    </w:p>
    <w:p>
      <w:pPr>
        <w:pStyle w:val="ListParagraph"/>
        <w:numPr>
          <w:ilvl w:val="0"/>
          <w:numId w:val="1"/>
        </w:numPr>
        <w:spacing w:after="60"/>
      </w:pPr>
      <w:r>
        <w:t xml:space="preserve">AI-assisted delivery lifecycle (existing 4-icon section, reframed)</w:t>
      </w:r>
    </w:p>
    <w:p>
      <w:pPr>
        <w:pStyle w:val="ListParagraph"/>
        <w:numPr>
          <w:ilvl w:val="0"/>
          <w:numId w:val="1"/>
        </w:numPr>
        <w:spacing w:after="60"/>
      </w:pPr>
      <w:r>
        <w:t xml:space="preserve">Engagement model — how working together looks (new, borrowing the tiering concept from Dedicated Engineering without copying its exact tiers)</w:t>
      </w:r>
    </w:p>
    <w:p>
      <w:pPr>
        <w:pStyle w:val="ListParagraph"/>
        <w:numPr>
          <w:ilvl w:val="0"/>
          <w:numId w:val="1"/>
        </w:numPr>
        <w:spacing w:after="60"/>
      </w:pPr>
      <w:r>
        <w:t xml:space="preserve">Case study spotlight (new — see Section 10)</w:t>
      </w:r>
    </w:p>
    <w:p>
      <w:pPr>
        <w:pStyle w:val="ListParagraph"/>
        <w:numPr>
          <w:ilvl w:val="0"/>
          <w:numId w:val="1"/>
        </w:numPr>
        <w:spacing w:after="60"/>
      </w:pPr>
      <w:r>
        <w:t xml:space="preserve">Industry relevance (existing, corrected)</w:t>
      </w:r>
    </w:p>
    <w:p>
      <w:pPr>
        <w:pStyle w:val="ListParagraph"/>
        <w:numPr>
          <w:ilvl w:val="0"/>
          <w:numId w:val="1"/>
        </w:numPr>
        <w:spacing w:after="60"/>
      </w:pPr>
      <w:r>
        <w:t xml:space="preserve">Security &amp; trust (existing, tightened)</w:t>
      </w:r>
    </w:p>
    <w:p>
      <w:pPr>
        <w:pStyle w:val="ListParagraph"/>
        <w:numPr>
          <w:ilvl w:val="0"/>
          <w:numId w:val="1"/>
        </w:numPr>
        <w:spacing w:after="60"/>
      </w:pPr>
      <w:r>
        <w:t xml:space="preserve">Global presence (existing, unchanged)</w:t>
      </w:r>
    </w:p>
    <w:p>
      <w:pPr>
        <w:pStyle w:val="ListParagraph"/>
        <w:numPr>
          <w:ilvl w:val="0"/>
          <w:numId w:val="1"/>
        </w:numPr>
        <w:spacing w:after="60"/>
      </w:pPr>
      <w:r>
        <w:t xml:space="preserve">CTA / contact form (existing, unchanged, with corrected copy above it)</w:t>
      </w:r>
    </w:p>
    <w:p>
      <w:pPr>
        <w:pStyle w:val="Heading1"/>
        <w:spacing w:after="200" w:before="400"/>
      </w:pPr>
      <w:r>
        <w:t xml:space="preserve">8. Strategic Positioning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60"/>
              <w:left w:type="dxa" w:w="100"/>
              <w:bottom w:type="dxa" w:w="60"/>
              <w:right w:type="dxa" w:w="100"/>
            </w:tcMar>
          </w:tcPr>
          <w:p>
            <w:r>
              <w:rPr>
                <w:b/>
                <w:bCs/>
                <w:color w:val="FFFFFF"/>
                <w:sz w:val="18"/>
                <w:szCs w:val="18"/>
              </w:rPr>
              <w:t xml:space="preserve">Question</w:t>
            </w:r>
          </w:p>
        </w:tc>
        <w:tc>
          <w:tcPr>
            <w:tcW w:type="dxa" w:w="5950"/>
            <w:shd w:fill="1F3864" w:val="clear"/>
            <w:tcMar>
              <w:top w:type="dxa" w:w="60"/>
              <w:left w:type="dxa" w:w="100"/>
              <w:bottom w:type="dxa" w:w="60"/>
              <w:right w:type="dxa" w:w="100"/>
            </w:tcMar>
          </w:tcPr>
          <w:p>
            <w:r>
              <w:rPr>
                <w:b/>
                <w:bCs/>
                <w:color w:val="FFFFFF"/>
                <w:sz w:val="18"/>
                <w:szCs w:val="18"/>
              </w:rPr>
              <w:t xml:space="preserve">Finding</w:t>
            </w:r>
          </w:p>
        </w:tc>
      </w:tr>
      <w:tr>
        <w:tc>
          <w:tcPr>
            <w:tcW w:type="dxa" w:w="3400"/>
            <w:tcMar>
              <w:top w:type="dxa" w:w="60"/>
              <w:left w:type="dxa" w:w="100"/>
              <w:bottom w:type="dxa" w:w="60"/>
              <w:right w:type="dxa" w:w="100"/>
            </w:tcMar>
          </w:tcPr>
          <w:p>
            <w:r>
              <w:rPr>
                <w:b w:val="false"/>
                <w:bCs w:val="false"/>
                <w:sz w:val="18"/>
                <w:szCs w:val="18"/>
              </w:rPr>
              <w:t xml:space="preserve">1. What service is the page actually selling?</w:t>
            </w:r>
          </w:p>
        </w:tc>
        <w:tc>
          <w:tcPr>
            <w:tcW w:type="dxa" w:w="5950"/>
            <w:tcMar>
              <w:top w:type="dxa" w:w="60"/>
              <w:left w:type="dxa" w:w="100"/>
              <w:bottom w:type="dxa" w:w="60"/>
              <w:right w:type="dxa" w:w="100"/>
            </w:tcMar>
          </w:tcPr>
          <w:p>
            <w:r>
              <w:rPr>
                <w:b w:val="false"/>
                <w:bCs w:val="false"/>
                <w:sz w:val="18"/>
                <w:szCs w:val="18"/>
              </w:rPr>
              <w:t xml:space="preserve">Design and build of SaaS/enterprise platforms (new build or rebuild), delivered by Zediant's own engineers using AI-assisted tooling, with an option to add AI/automation features. (A)</w:t>
            </w:r>
          </w:p>
        </w:tc>
      </w:tr>
      <w:tr>
        <w:tc>
          <w:tcPr>
            <w:tcW w:type="dxa" w:w="3400"/>
            <w:tcMar>
              <w:top w:type="dxa" w:w="60"/>
              <w:left w:type="dxa" w:w="100"/>
              <w:bottom w:type="dxa" w:w="60"/>
              <w:right w:type="dxa" w:w="100"/>
            </w:tcMar>
          </w:tcPr>
          <w:p>
            <w:r>
              <w:rPr>
                <w:b w:val="false"/>
                <w:bCs w:val="false"/>
                <w:sz w:val="18"/>
                <w:szCs w:val="18"/>
              </w:rPr>
              <w:t xml:space="preserve">2. Who is the ideal customer?</w:t>
            </w:r>
          </w:p>
        </w:tc>
        <w:tc>
          <w:tcPr>
            <w:tcW w:type="dxa" w:w="5950"/>
            <w:tcMar>
              <w:top w:type="dxa" w:w="60"/>
              <w:left w:type="dxa" w:w="100"/>
              <w:bottom w:type="dxa" w:w="60"/>
              <w:right w:type="dxa" w:w="100"/>
            </w:tcMar>
          </w:tcPr>
          <w:p>
            <w:r>
              <w:rPr>
                <w:b w:val="false"/>
                <w:bCs w:val="false"/>
                <w:sz w:val="18"/>
                <w:szCs w:val="18"/>
              </w:rPr>
              <w:t xml:space="preserve">Per services.md: SaaS/fintech/proptech/automotive/enterprise-platform companies, 10–200 employees, Seed–Series B, CTO/Founder/VP Eng/Head of Product. (A) The page's own copy skews larger/more generic than this. (B)</w:t>
            </w:r>
          </w:p>
        </w:tc>
      </w:tr>
      <w:tr>
        <w:tc>
          <w:tcPr>
            <w:tcW w:type="dxa" w:w="3400"/>
            <w:tcMar>
              <w:top w:type="dxa" w:w="60"/>
              <w:left w:type="dxa" w:w="100"/>
              <w:bottom w:type="dxa" w:w="60"/>
              <w:right w:type="dxa" w:w="100"/>
            </w:tcMar>
          </w:tcPr>
          <w:p>
            <w:r>
              <w:rPr>
                <w:b w:val="false"/>
                <w:bCs w:val="false"/>
                <w:sz w:val="18"/>
                <w:szCs w:val="18"/>
              </w:rPr>
              <w:t xml:space="preserve">3. Who is the likely buyer?</w:t>
            </w:r>
          </w:p>
        </w:tc>
        <w:tc>
          <w:tcPr>
            <w:tcW w:type="dxa" w:w="5950"/>
            <w:tcMar>
              <w:top w:type="dxa" w:w="60"/>
              <w:left w:type="dxa" w:w="100"/>
              <w:bottom w:type="dxa" w:w="60"/>
              <w:right w:type="dxa" w:w="100"/>
            </w:tcMar>
          </w:tcPr>
          <w:p>
            <w:r>
              <w:rPr>
                <w:b w:val="false"/>
                <w:bCs w:val="false"/>
                <w:sz w:val="18"/>
                <w:szCs w:val="18"/>
              </w:rPr>
              <w:t xml:space="preserve">A technical decision-maker (CTO, VP Eng, technical founder) under roadmap or scaling pressure. (B)</w:t>
            </w:r>
          </w:p>
        </w:tc>
      </w:tr>
      <w:tr>
        <w:tc>
          <w:tcPr>
            <w:tcW w:type="dxa" w:w="3400"/>
            <w:tcMar>
              <w:top w:type="dxa" w:w="60"/>
              <w:left w:type="dxa" w:w="100"/>
              <w:bottom w:type="dxa" w:w="60"/>
              <w:right w:type="dxa" w:w="100"/>
            </w:tcMar>
          </w:tcPr>
          <w:p>
            <w:r>
              <w:rPr>
                <w:b w:val="false"/>
                <w:bCs w:val="false"/>
                <w:sz w:val="18"/>
                <w:szCs w:val="18"/>
              </w:rPr>
              <w:t xml:space="preserve">4. What business problem is the service solving?</w:t>
            </w:r>
          </w:p>
        </w:tc>
        <w:tc>
          <w:tcPr>
            <w:tcW w:type="dxa" w:w="5950"/>
            <w:tcMar>
              <w:top w:type="dxa" w:w="60"/>
              <w:left w:type="dxa" w:w="100"/>
              <w:bottom w:type="dxa" w:w="60"/>
              <w:right w:type="dxa" w:w="100"/>
            </w:tcMar>
          </w:tcPr>
          <w:p>
            <w:r>
              <w:rPr>
                <w:b w:val="false"/>
                <w:bCs w:val="false"/>
                <w:sz w:val="18"/>
                <w:szCs w:val="18"/>
              </w:rPr>
              <w:t xml:space="preserve">Roadmap outpacing engineering capacity; a platform that must be built or rebuilt to scale; a team without multi-tenant or AI-integration experience. (A, from services.md — not stated on the live page itself.)</w:t>
            </w:r>
          </w:p>
        </w:tc>
      </w:tr>
      <w:tr>
        <w:tc>
          <w:tcPr>
            <w:tcW w:type="dxa" w:w="3400"/>
            <w:tcMar>
              <w:top w:type="dxa" w:w="60"/>
              <w:left w:type="dxa" w:w="100"/>
              <w:bottom w:type="dxa" w:w="60"/>
              <w:right w:type="dxa" w:w="100"/>
            </w:tcMar>
          </w:tcPr>
          <w:p>
            <w:r>
              <w:rPr>
                <w:b w:val="false"/>
                <w:bCs w:val="false"/>
                <w:sz w:val="18"/>
                <w:szCs w:val="18"/>
              </w:rPr>
              <w:t xml:space="preserve">5. What trigger causes a company to look for this?</w:t>
            </w:r>
          </w:p>
        </w:tc>
        <w:tc>
          <w:tcPr>
            <w:tcW w:type="dxa" w:w="5950"/>
            <w:tcMar>
              <w:top w:type="dxa" w:w="60"/>
              <w:left w:type="dxa" w:w="100"/>
              <w:bottom w:type="dxa" w:w="60"/>
              <w:right w:type="dxa" w:w="100"/>
            </w:tcMar>
          </w:tcPr>
          <w:p>
            <w:r>
              <w:rPr>
                <w:b w:val="false"/>
                <w:bCs w:val="false"/>
                <w:sz w:val="18"/>
                <w:szCs w:val="18"/>
              </w:rPr>
              <w:t xml:space="preserve">Recent funding with a stated roadmap, a public rebuild/v2 announcement, competitors shipping AI features, visible scaling pain. (A, services.md)</w:t>
            </w:r>
          </w:p>
        </w:tc>
      </w:tr>
      <w:tr>
        <w:tc>
          <w:tcPr>
            <w:tcW w:type="dxa" w:w="3400"/>
            <w:tcMar>
              <w:top w:type="dxa" w:w="60"/>
              <w:left w:type="dxa" w:w="100"/>
              <w:bottom w:type="dxa" w:w="60"/>
              <w:right w:type="dxa" w:w="100"/>
            </w:tcMar>
          </w:tcPr>
          <w:p>
            <w:r>
              <w:rPr>
                <w:b w:val="false"/>
                <w:bCs w:val="false"/>
                <w:sz w:val="18"/>
                <w:szCs w:val="18"/>
              </w:rPr>
              <w:t xml:space="preserve">6. Is the problem clearly communicated?</w:t>
            </w:r>
          </w:p>
        </w:tc>
        <w:tc>
          <w:tcPr>
            <w:tcW w:type="dxa" w:w="5950"/>
            <w:tcMar>
              <w:top w:type="dxa" w:w="60"/>
              <w:left w:type="dxa" w:w="100"/>
              <w:bottom w:type="dxa" w:w="60"/>
              <w:right w:type="dxa" w:w="100"/>
            </w:tcMar>
          </w:tcPr>
          <w:p>
            <w:r>
              <w:rPr>
                <w:b w:val="false"/>
                <w:bCs w:val="false"/>
                <w:sz w:val="18"/>
                <w:szCs w:val="18"/>
              </w:rPr>
              <w:t xml:space="preserve">No. The page never states a buyer problem — it opens directly into capability. (B)</w:t>
            </w:r>
          </w:p>
        </w:tc>
      </w:tr>
      <w:tr>
        <w:tc>
          <w:tcPr>
            <w:tcW w:type="dxa" w:w="3400"/>
            <w:tcMar>
              <w:top w:type="dxa" w:w="60"/>
              <w:left w:type="dxa" w:w="100"/>
              <w:bottom w:type="dxa" w:w="60"/>
              <w:right w:type="dxa" w:w="100"/>
            </w:tcMar>
          </w:tcPr>
          <w:p>
            <w:r>
              <w:rPr>
                <w:b w:val="false"/>
                <w:bCs w:val="false"/>
                <w:sz w:val="18"/>
                <w:szCs w:val="18"/>
              </w:rPr>
              <w:t xml:space="preserve">7. Is the value proposition clear within the first few seconds?</w:t>
            </w:r>
          </w:p>
        </w:tc>
        <w:tc>
          <w:tcPr>
            <w:tcW w:type="dxa" w:w="5950"/>
            <w:tcMar>
              <w:top w:type="dxa" w:w="60"/>
              <w:left w:type="dxa" w:w="100"/>
              <w:bottom w:type="dxa" w:w="60"/>
              <w:right w:type="dxa" w:w="100"/>
            </w:tcMar>
          </w:tcPr>
          <w:p>
            <w:r>
              <w:rPr>
                <w:b w:val="false"/>
                <w:bCs w:val="false"/>
                <w:sz w:val="18"/>
                <w:szCs w:val="18"/>
              </w:rPr>
              <w:t xml:space="preserve">No — see Section 5 (Hero Audit). (B)</w:t>
            </w:r>
          </w:p>
        </w:tc>
      </w:tr>
      <w:tr>
        <w:tc>
          <w:tcPr>
            <w:tcW w:type="dxa" w:w="3400"/>
            <w:tcMar>
              <w:top w:type="dxa" w:w="60"/>
              <w:left w:type="dxa" w:w="100"/>
              <w:bottom w:type="dxa" w:w="60"/>
              <w:right w:type="dxa" w:w="100"/>
            </w:tcMar>
          </w:tcPr>
          <w:p>
            <w:r>
              <w:rPr>
                <w:b w:val="false"/>
                <w:bCs w:val="false"/>
                <w:sz w:val="18"/>
                <w:szCs w:val="18"/>
              </w:rPr>
              <w:t xml:space="preserve">8. Is the differentiation from a generic software development company clear?</w:t>
            </w:r>
          </w:p>
        </w:tc>
        <w:tc>
          <w:tcPr>
            <w:tcW w:type="dxa" w:w="5950"/>
            <w:tcMar>
              <w:top w:type="dxa" w:w="60"/>
              <w:left w:type="dxa" w:w="100"/>
              <w:bottom w:type="dxa" w:w="60"/>
              <w:right w:type="dxa" w:w="100"/>
            </w:tcMar>
          </w:tcPr>
          <w:p>
            <w:r>
              <w:rPr>
                <w:b w:val="false"/>
                <w:bCs w:val="false"/>
                <w:sz w:val="18"/>
                <w:szCs w:val="18"/>
              </w:rPr>
              <w:t xml:space="preserve">Weak. "AI-First engineering firm" and generic "scalable, secure, intelligent platforms" language reads like most software vendors' claims. (B)</w:t>
            </w:r>
          </w:p>
        </w:tc>
      </w:tr>
      <w:tr>
        <w:tc>
          <w:tcPr>
            <w:tcW w:type="dxa" w:w="3400"/>
            <w:tcMar>
              <w:top w:type="dxa" w:w="60"/>
              <w:left w:type="dxa" w:w="100"/>
              <w:bottom w:type="dxa" w:w="60"/>
              <w:right w:type="dxa" w:w="100"/>
            </w:tcMar>
          </w:tcPr>
          <w:p>
            <w:r>
              <w:rPr>
                <w:b w:val="false"/>
                <w:bCs w:val="false"/>
                <w:sz w:val="18"/>
                <w:szCs w:val="18"/>
              </w:rPr>
              <w:t xml:space="preserve">9. Is the differentiation from an AI development agency clear?</w:t>
            </w:r>
          </w:p>
        </w:tc>
        <w:tc>
          <w:tcPr>
            <w:tcW w:type="dxa" w:w="5950"/>
            <w:tcMar>
              <w:top w:type="dxa" w:w="60"/>
              <w:left w:type="dxa" w:w="100"/>
              <w:bottom w:type="dxa" w:w="60"/>
              <w:right w:type="dxa" w:w="100"/>
            </w:tcMar>
          </w:tcPr>
          <w:p>
            <w:r>
              <w:rPr>
                <w:b w:val="false"/>
                <w:bCs w:val="false"/>
                <w:sz w:val="18"/>
                <w:szCs w:val="18"/>
              </w:rPr>
              <w:t xml:space="preserve">No — and this is the page's central strategic problem. The page currently reads closer to an AI development agency than to an engineering firm that uses AI, which is the opposite of the distinction Zediant's own policy asks for. (B)</w:t>
            </w:r>
          </w:p>
        </w:tc>
      </w:tr>
      <w:tr>
        <w:tc>
          <w:tcPr>
            <w:tcW w:type="dxa" w:w="3400"/>
            <w:tcMar>
              <w:top w:type="dxa" w:w="60"/>
              <w:left w:type="dxa" w:w="100"/>
              <w:bottom w:type="dxa" w:w="60"/>
              <w:right w:type="dxa" w:w="100"/>
            </w:tcMar>
          </w:tcPr>
          <w:p>
            <w:r>
              <w:rPr>
                <w:b w:val="false"/>
                <w:bCs w:val="false"/>
                <w:sz w:val="18"/>
                <w:szCs w:val="18"/>
              </w:rPr>
              <w:t xml:space="preserve">10. Is the differentiation from traditional outsourcing clear?</w:t>
            </w:r>
          </w:p>
        </w:tc>
        <w:tc>
          <w:tcPr>
            <w:tcW w:type="dxa" w:w="5950"/>
            <w:tcMar>
              <w:top w:type="dxa" w:w="60"/>
              <w:left w:type="dxa" w:w="100"/>
              <w:bottom w:type="dxa" w:w="60"/>
              <w:right w:type="dxa" w:w="100"/>
            </w:tcMar>
          </w:tcPr>
          <w:p>
            <w:r>
              <w:rPr>
                <w:b w:val="false"/>
                <w:bCs w:val="false"/>
                <w:sz w:val="18"/>
                <w:szCs w:val="18"/>
              </w:rPr>
              <w:t xml:space="preserve">Partially — the "unlike standard offshore firms" line attempts this, but does so by disparaging offshoring in general (a category Zediant's own delivery model includes) rather than by describing what Zediant does differently. (B)</w:t>
            </w:r>
          </w:p>
        </w:tc>
      </w:tr>
      <w:tr>
        <w:tc>
          <w:tcPr>
            <w:tcW w:type="dxa" w:w="3400"/>
            <w:tcMar>
              <w:top w:type="dxa" w:w="60"/>
              <w:left w:type="dxa" w:w="100"/>
              <w:bottom w:type="dxa" w:w="60"/>
              <w:right w:type="dxa" w:w="100"/>
            </w:tcMar>
          </w:tcPr>
          <w:p>
            <w:r>
              <w:rPr>
                <w:b w:val="false"/>
                <w:bCs w:val="false"/>
                <w:sz w:val="18"/>
                <w:szCs w:val="18"/>
              </w:rPr>
              <w:t xml:space="preserve">11. Is the differentiation from Dedicated Engineering clear?</w:t>
            </w:r>
          </w:p>
        </w:tc>
        <w:tc>
          <w:tcPr>
            <w:tcW w:type="dxa" w:w="5950"/>
            <w:tcMar>
              <w:top w:type="dxa" w:w="60"/>
              <w:left w:type="dxa" w:w="100"/>
              <w:bottom w:type="dxa" w:w="60"/>
              <w:right w:type="dxa" w:w="100"/>
            </w:tcMar>
          </w:tcPr>
          <w:p>
            <w:r>
              <w:rPr>
                <w:b w:val="false"/>
                <w:bCs w:val="false"/>
                <w:sz w:val="18"/>
                <w:szCs w:val="18"/>
              </w:rPr>
              <w:t xml:space="preserve">Weak. Both pages describe senior engineers delivering product work; Dedicated Engineering is framed around ongoing team capacity, this page around platform build — but the page itself doesn't state this distinction. (B)</w:t>
            </w:r>
          </w:p>
        </w:tc>
      </w:tr>
      <w:tr>
        <w:tc>
          <w:tcPr>
            <w:tcW w:type="dxa" w:w="3400"/>
            <w:tcMar>
              <w:top w:type="dxa" w:w="60"/>
              <w:left w:type="dxa" w:w="100"/>
              <w:bottom w:type="dxa" w:w="60"/>
              <w:right w:type="dxa" w:w="100"/>
            </w:tcMar>
          </w:tcPr>
          <w:p>
            <w:r>
              <w:rPr>
                <w:b w:val="false"/>
                <w:bCs w:val="false"/>
                <w:sz w:val="18"/>
                <w:szCs w:val="18"/>
              </w:rPr>
              <w:t xml:space="preserve">12. Is the differentiation from Platform Engineering clear?</w:t>
            </w:r>
          </w:p>
        </w:tc>
        <w:tc>
          <w:tcPr>
            <w:tcW w:type="dxa" w:w="5950"/>
            <w:tcMar>
              <w:top w:type="dxa" w:w="60"/>
              <w:left w:type="dxa" w:w="100"/>
              <w:bottom w:type="dxa" w:w="60"/>
              <w:right w:type="dxa" w:w="100"/>
            </w:tcMar>
          </w:tcPr>
          <w:p>
            <w:r>
              <w:rPr>
                <w:b w:val="false"/>
                <w:bCs w:val="false"/>
                <w:sz w:val="18"/>
                <w:szCs w:val="18"/>
              </w:rPr>
              <w:t xml:space="preserve">No — this is the page's second-biggest strategic problem. Both pages use "platform," both use architecture/API language, both use the same 30–40%/AI-workflow-grid structure. (B)</w:t>
            </w:r>
          </w:p>
        </w:tc>
      </w:tr>
      <w:tr>
        <w:tc>
          <w:tcPr>
            <w:tcW w:type="dxa" w:w="3400"/>
            <w:tcMar>
              <w:top w:type="dxa" w:w="60"/>
              <w:left w:type="dxa" w:w="100"/>
              <w:bottom w:type="dxa" w:w="60"/>
              <w:right w:type="dxa" w:w="100"/>
            </w:tcMar>
          </w:tcPr>
          <w:p>
            <w:r>
              <w:rPr>
                <w:b w:val="false"/>
                <w:bCs w:val="false"/>
                <w:sz w:val="18"/>
                <w:szCs w:val="18"/>
              </w:rPr>
              <w:t xml:space="preserve">13. Is the differentiation from Enterprise Custom Development clear?</w:t>
            </w:r>
          </w:p>
        </w:tc>
        <w:tc>
          <w:tcPr>
            <w:tcW w:type="dxa" w:w="5950"/>
            <w:tcMar>
              <w:top w:type="dxa" w:w="60"/>
              <w:left w:type="dxa" w:w="100"/>
              <w:bottom w:type="dxa" w:w="60"/>
              <w:right w:type="dxa" w:w="100"/>
            </w:tcMar>
          </w:tcPr>
          <w:p>
            <w:r>
              <w:rPr>
                <w:b w:val="false"/>
                <w:bCs w:val="false"/>
                <w:sz w:val="18"/>
                <w:szCs w:val="18"/>
              </w:rPr>
              <w:t xml:space="preserve">Reasonably clear in principle (greenfield/scale-stage product vs. legacy/enterprise modernization), though the "PLCs and global brands" line on this page blurs that line by borrowing Enterprise Custom Development's own narrow audience framing. (B)</w:t>
            </w:r>
          </w:p>
        </w:tc>
      </w:tr>
      <w:tr>
        <w:tc>
          <w:tcPr>
            <w:tcW w:type="dxa" w:w="3400"/>
            <w:tcMar>
              <w:top w:type="dxa" w:w="60"/>
              <w:left w:type="dxa" w:w="100"/>
              <w:bottom w:type="dxa" w:w="60"/>
              <w:right w:type="dxa" w:w="100"/>
            </w:tcMar>
          </w:tcPr>
          <w:p>
            <w:r>
              <w:rPr>
                <w:b w:val="false"/>
                <w:bCs w:val="false"/>
                <w:sz w:val="18"/>
                <w:szCs w:val="18"/>
              </w:rPr>
              <w:t xml:space="preserve">14. Does the page support Zediant's current GTM positioning?</w:t>
            </w:r>
          </w:p>
        </w:tc>
        <w:tc>
          <w:tcPr>
            <w:tcW w:type="dxa" w:w="5950"/>
            <w:tcMar>
              <w:top w:type="dxa" w:w="60"/>
              <w:left w:type="dxa" w:w="100"/>
              <w:bottom w:type="dxa" w:w="60"/>
              <w:right w:type="dxa" w:w="100"/>
            </w:tcMar>
          </w:tcPr>
          <w:p>
            <w:r>
              <w:rPr>
                <w:b w:val="false"/>
                <w:bCs w:val="false"/>
                <w:sz w:val="18"/>
                <w:szCs w:val="18"/>
              </w:rPr>
              <w:t xml:space="preserve">Partially. It supports the AI-forward part of the positioning but undercuts the "product engineering," "honest AI scoping," and "senior extension of your team" parts documented as the actual differentiators elsewhere. (B)</w:t>
            </w:r>
          </w:p>
        </w:tc>
      </w:tr>
      <w:tr>
        <w:tc>
          <w:tcPr>
            <w:tcW w:type="dxa" w:w="3400"/>
            <w:tcMar>
              <w:top w:type="dxa" w:w="60"/>
              <w:left w:type="dxa" w:w="100"/>
              <w:bottom w:type="dxa" w:w="60"/>
              <w:right w:type="dxa" w:w="100"/>
            </w:tcMar>
          </w:tcPr>
          <w:p>
            <w:r>
              <w:rPr>
                <w:b w:val="false"/>
                <w:bCs w:val="false"/>
                <w:sz w:val="18"/>
                <w:szCs w:val="18"/>
              </w:rPr>
              <w:t xml:space="preserve">15. Does the page attract the type of company Zediant actually wants?</w:t>
            </w:r>
          </w:p>
        </w:tc>
        <w:tc>
          <w:tcPr>
            <w:tcW w:type="dxa" w:w="5950"/>
            <w:tcMar>
              <w:top w:type="dxa" w:w="60"/>
              <w:left w:type="dxa" w:w="100"/>
              <w:bottom w:type="dxa" w:w="60"/>
              <w:right w:type="dxa" w:w="100"/>
            </w:tcMar>
          </w:tcPr>
          <w:p>
            <w:r>
              <w:rPr>
                <w:b w:val="false"/>
                <w:bCs w:val="false"/>
                <w:sz w:val="18"/>
                <w:szCs w:val="18"/>
              </w:rPr>
              <w:t xml:space="preserve">Uncertain/at risk. It's more likely to attract inbound interest specifically for AI/LLM product features — the one thing services.md says Zediant cannot currently prove — than for the product-engineering-with-AI-tooling work Zediant can actually deliver and evidence. (B)</w:t>
            </w:r>
          </w:p>
        </w:tc>
      </w:tr>
      <w:tr>
        <w:tc>
          <w:tcPr>
            <w:tcW w:type="dxa" w:w="3400"/>
            <w:tcMar>
              <w:top w:type="dxa" w:w="60"/>
              <w:left w:type="dxa" w:w="100"/>
              <w:bottom w:type="dxa" w:w="60"/>
              <w:right w:type="dxa" w:w="100"/>
            </w:tcMar>
          </w:tcPr>
          <w:p>
            <w:r>
              <w:rPr>
                <w:b w:val="false"/>
                <w:bCs w:val="false"/>
                <w:sz w:val="18"/>
                <w:szCs w:val="18"/>
              </w:rPr>
              <w:t xml:space="preserve">16. Does the page communicate why a CTO/VP Eng/Founder should talk to Zediant?</w:t>
            </w:r>
          </w:p>
        </w:tc>
        <w:tc>
          <w:tcPr>
            <w:tcW w:type="dxa" w:w="5950"/>
            <w:tcMar>
              <w:top w:type="dxa" w:w="60"/>
              <w:left w:type="dxa" w:w="100"/>
              <w:bottom w:type="dxa" w:w="60"/>
              <w:right w:type="dxa" w:w="100"/>
            </w:tcMar>
          </w:tcPr>
          <w:p>
            <w:r>
              <w:rPr>
                <w:b w:val="false"/>
                <w:bCs w:val="false"/>
                <w:sz w:val="18"/>
                <w:szCs w:val="18"/>
              </w:rPr>
              <w:t xml:space="preserve">Not explicitly — no stated problem, no proof, no named engagement model. (B)</w:t>
            </w:r>
          </w:p>
        </w:tc>
      </w:tr>
      <w:tr>
        <w:tc>
          <w:tcPr>
            <w:tcW w:type="dxa" w:w="3400"/>
            <w:tcMar>
              <w:top w:type="dxa" w:w="60"/>
              <w:left w:type="dxa" w:w="100"/>
              <w:bottom w:type="dxa" w:w="60"/>
              <w:right w:type="dxa" w:w="100"/>
            </w:tcMar>
          </w:tcPr>
          <w:p>
            <w:r>
              <w:rPr>
                <w:b w:val="false"/>
                <w:bCs w:val="false"/>
                <w:sz w:val="18"/>
                <w:szCs w:val="18"/>
              </w:rPr>
              <w:t xml:space="preserve">17. Does the page communicate outcomes rather than only capabilities?</w:t>
            </w:r>
          </w:p>
        </w:tc>
        <w:tc>
          <w:tcPr>
            <w:tcW w:type="dxa" w:w="5950"/>
            <w:tcMar>
              <w:top w:type="dxa" w:w="60"/>
              <w:left w:type="dxa" w:w="100"/>
              <w:bottom w:type="dxa" w:w="60"/>
              <w:right w:type="dxa" w:w="100"/>
            </w:tcMar>
          </w:tcPr>
          <w:p>
            <w:r>
              <w:rPr>
                <w:b w:val="false"/>
                <w:bCs w:val="false"/>
                <w:sz w:val="18"/>
                <w:szCs w:val="18"/>
              </w:rPr>
              <w:t xml:space="preserve">Mostly capabilities ("we build," "we architect"), not outcomes (time-to-market, runway preserved, roadmap unblocked) except for the one stat callout. (B)</w:t>
            </w:r>
          </w:p>
        </w:tc>
      </w:tr>
      <w:tr>
        <w:tc>
          <w:tcPr>
            <w:tcW w:type="dxa" w:w="3400"/>
            <w:tcMar>
              <w:top w:type="dxa" w:w="60"/>
              <w:left w:type="dxa" w:w="100"/>
              <w:bottom w:type="dxa" w:w="60"/>
              <w:right w:type="dxa" w:w="100"/>
            </w:tcMar>
          </w:tcPr>
          <w:p>
            <w:r>
              <w:rPr>
                <w:b w:val="false"/>
                <w:bCs w:val="false"/>
                <w:sz w:val="18"/>
                <w:szCs w:val="18"/>
              </w:rPr>
              <w:t xml:space="preserve">18. Is the service positioned as a strategic partnership or primarily as a vendor?</w:t>
            </w:r>
          </w:p>
        </w:tc>
        <w:tc>
          <w:tcPr>
            <w:tcW w:type="dxa" w:w="5950"/>
            <w:tcMar>
              <w:top w:type="dxa" w:w="60"/>
              <w:left w:type="dxa" w:w="100"/>
              <w:bottom w:type="dxa" w:w="60"/>
              <w:right w:type="dxa" w:w="100"/>
            </w:tcMar>
          </w:tcPr>
          <w:p>
            <w:r>
              <w:rPr>
                <w:b w:val="false"/>
                <w:bCs w:val="false"/>
                <w:sz w:val="18"/>
                <w:szCs w:val="18"/>
              </w:rPr>
              <w:t xml:space="preserve">Primarily as a vendor/capability provider. The "extension of your engineering organization" partnership framing that exists elsewhere on the site (Who We Are, Dedicated Engineering) is absent here. (B)</w:t>
            </w:r>
          </w:p>
        </w:tc>
      </w:tr>
    </w:tbl>
    <w:p>
      <w:pPr>
        <w:pStyle w:val="Heading3"/>
        <w:spacing w:after="100" w:before="200"/>
      </w:pPr>
      <w:r>
        <w:t xml:space="preserve">Strategic contradictions identified (B)</w:t>
      </w:r>
    </w:p>
    <w:p>
      <w:pPr>
        <w:pStyle w:val="ListParagraph"/>
        <w:numPr>
          <w:ilvl w:val="0"/>
          <w:numId w:val="1"/>
        </w:numPr>
        <w:spacing w:after="60"/>
      </w:pPr>
      <w:r>
        <w:t xml:space="preserve">The page's own capability claims (explicit GenAI/LLM product integration) contradict Zediant's own internal policy on AI capability claims (claims-and-compliance.md §5, services.md's "mandatory scoping rule") — this is not a stylistic issue, it is the page contradicting the company's own stated rules for itself.</w:t>
      </w:r>
    </w:p>
    <w:p>
      <w:pPr>
        <w:pStyle w:val="ListParagraph"/>
        <w:numPr>
          <w:ilvl w:val="0"/>
          <w:numId w:val="1"/>
        </w:numPr>
        <w:spacing w:after="60"/>
      </w:pPr>
      <w:r>
        <w:t xml:space="preserve">"Platform-first engineering approach" as a differentiator directly overlaps the subject matter of the separate Platform Engineering page.</w:t>
      </w:r>
    </w:p>
    <w:p>
      <w:pPr>
        <w:pStyle w:val="ListParagraph"/>
        <w:numPr>
          <w:ilvl w:val="0"/>
          <w:numId w:val="1"/>
        </w:numPr>
        <w:spacing w:after="60"/>
      </w:pPr>
      <w:r>
        <w:t xml:space="preserve">"PLCs and global brands" as an audience descriptor contradicts the page's own documented ICP (10–200 employees, Seed–Series B) and duplicates a framing already flagged as a problem on a different page (Enterprise Custom Development).</w:t>
      </w:r>
    </w:p>
    <w:p>
      <w:r>
        <w:br w:type="page"/>
      </w:r>
    </w:p>
    <w:p>
      <w:pPr>
        <w:pStyle w:val="Heading1"/>
        <w:spacing w:after="200" w:before="400"/>
      </w:pPr>
      <w:r>
        <w:t xml:space="preserve">9. AI Positioning Audit</w:t>
      </w:r>
    </w:p>
    <w:p>
      <w:pPr>
        <w:spacing w:after="160"/>
      </w:pPr>
      <w:r>
        <w:rPr>
          <w:b w:val="false"/>
          <w:bCs w:val="false"/>
          <w:i w:val="false"/>
          <w:iCs w:val="false"/>
        </w:rPr>
        <w:t xml:space="preserve">This section is explicitly high priority per the brief.</w:t>
      </w:r>
    </w:p>
    <w:p>
      <w:pPr>
        <w:pStyle w:val="Heading3"/>
        <w:spacing w:after="100" w:before="200"/>
      </w:pPr>
      <w:r>
        <w:t xml:space="preserve">Which positioning does the page currently project? (B)</w:t>
      </w:r>
    </w:p>
    <w:p>
      <w:pPr>
        <w:spacing w:after="160"/>
      </w:pPr>
      <w:r>
        <w:rPr>
          <w:b w:val="false"/>
          <w:bCs w:val="false"/>
          <w:i w:val="false"/>
          <w:iCs w:val="false"/>
        </w:rPr>
        <w:t xml:space="preserve">A blend of (A) "AI development company" and (C) "AI product engineering company," leaning toward (A). Evidence: "Zediant is an AI-First engineering firm" (a direct self-identification as an AI company, not an engineering company that uses AI); "leverage Generative AI and Machine Learning to drive competitive advantage" in the hero; "custom Generative AI and Large Language Model (LLM) integrations" as a stated capability. None of these are framed as delivery-acceleration tools — they are framed as things Zediant will build into the buyer's product.</w:t>
      </w:r>
    </w:p>
    <w:p>
      <w:pPr>
        <w:pStyle w:val="Heading3"/>
        <w:spacing w:after="100" w:before="200"/>
      </w:pPr>
      <w:r>
        <w:t xml:space="preserve">Which positioning is most consistent with the rest of the site and with internal policy? (A)</w:t>
      </w:r>
    </w:p>
    <w:p>
      <w:pPr>
        <w:spacing w:after="160"/>
      </w:pPr>
      <w:r>
        <w:rPr>
          <w:b w:val="false"/>
          <w:bCs w:val="false"/>
          <w:i w:val="false"/>
          <w:iCs w:val="false"/>
        </w:rPr>
        <w:t xml:space="preserve">(D) A product engineering company using AI-enabled engineering practices. This is stated directly in services.md's "mandatory scoping rule": "The defensible claim is engineering teams that use AI to deliver software faster... When a prospect's core need is genuinely deep AI/ML product work, internal policy is to say so openly rather than oversell." It is also the positioning implicit in the Homepage ("powered by AI" as one of several qualities, not the headline identity) and in Engineering Excellence (AI as one phase — "AI-Augmented Development" — inside a larger six-phase framework, not the whole story).</w:t>
      </w:r>
    </w:p>
    <w:p>
      <w:pPr>
        <w:pStyle w:val="Heading3"/>
        <w:spacing w:after="100" w:before="200"/>
      </w:pPr>
      <w:r>
        <w:t xml:space="preserve">"AI is the product" vs. "AI is the advantage" — which is the stronger positioning? (C)</w:t>
      </w:r>
    </w:p>
    <w:p>
      <w:pPr>
        <w:spacing w:after="160"/>
      </w:pPr>
      <w:r>
        <w:rPr>
          <w:b w:val="false"/>
          <w:bCs w:val="false"/>
          <w:i w:val="false"/>
          <w:iCs w:val="false"/>
        </w:rPr>
        <w:t xml:space="preserve">"AI is an advantage in how Zediant engineers products" is unambiguously the stronger, more defensible positioning for Zediant specifically, for three reasons: (1) it is the only one supported by evidence Zediant actually has (the 30–40% delivery-acceleration figure, the named AI-assisted practices in the Engineering Excellence framework); (2) it is the one Zediant's own internal policy has already decided on, in writing, for exactly this reason; and (3) "AI is the product" invites a competitive comparison against AI-native product studios and AI/ML consultancies that Zediant is not positioned or resourced to win, and where the honest answer to a portfolio question would be a disqualifying one. This does not mean removing AI from the page — the page can and should keep the AI-assisted-delivery content (Section 6, item 4, is the page's strongest section for exactly this reason) — it means not letting AI read as the product itself.</w:t>
      </w:r>
    </w:p>
    <w:p>
      <w:pPr>
        <w:pStyle w:val="Heading3"/>
        <w:spacing w:after="100" w:before="200"/>
      </w:pPr>
      <w:r>
        <w:t xml:space="preserve">Wording that creates confusion (A)</w:t>
      </w:r>
    </w:p>
    <w:p>
      <w:pPr>
        <w:pStyle w:val="ListParagraph"/>
        <w:numPr>
          <w:ilvl w:val="0"/>
          <w:numId w:val="1"/>
        </w:numPr>
        <w:spacing w:after="60"/>
      </w:pPr>
      <w:r>
        <w:t xml:space="preserve">"Zediant is an AI-First engineering firm" — self-identifies as an AI company.</w:t>
      </w:r>
    </w:p>
    <w:p>
      <w:pPr>
        <w:pStyle w:val="ListParagraph"/>
        <w:numPr>
          <w:ilvl w:val="0"/>
          <w:numId w:val="1"/>
        </w:numPr>
        <w:spacing w:after="60"/>
      </w:pPr>
      <w:r>
        <w:t xml:space="preserve">"leverage Generative AI and Machine Learning to drive competitive advantage" (hero subhead) — implies the client's product will use GenAI/ML, not that Zediant's delivery process does.</w:t>
      </w:r>
    </w:p>
    <w:p>
      <w:pPr>
        <w:pStyle w:val="ListParagraph"/>
        <w:numPr>
          <w:ilvl w:val="0"/>
          <w:numId w:val="1"/>
        </w:numPr>
        <w:spacing w:after="60"/>
      </w:pPr>
      <w:r>
        <w:t xml:space="preserve">"Embedding intelligence into your product core—from custom Generative AI and Large Language Model (LLM) integrations to complex workflow automation" (capability card) — the most concrete, specific, and unsupported AI-product-feature claim on the page.</w:t>
      </w:r>
    </w:p>
    <w:p>
      <w:pPr>
        <w:spacing w:after="160"/>
      </w:pPr>
      <w:r>
        <w:rPr>
          <w:b w:val="false"/>
          <w:bCs w:val="false"/>
          <w:i w:val="false"/>
          <w:iCs w:val="false"/>
        </w:rPr>
        <w:t xml:space="preserve">Per the task's instructions, this audit does not recommend removing the AI positioning — Zediant's AI-assisted delivery capability is real, documented, and differentiating. The recommendation (developed for a future implementation pass, not executed here) is to keep the AI content but shift its subject from "what we will build into your product" to "how we build your product faster and better," and to keep the one AI-assisted-delivery section (Section 6, item 4) as the anchor for AI content on this page rather than repeating AI-product claims in the hero and capability grid as well.</w:t>
      </w:r>
    </w:p>
    <w:p>
      <w:pPr>
        <w:pStyle w:val="Heading1"/>
        <w:spacing w:after="200" w:before="400"/>
      </w:pPr>
      <w:r>
        <w:t xml:space="preserve">10. 30–40% Faster Claim Audit</w:t>
      </w:r>
    </w:p>
    <w:p>
      <w:pPr>
        <w:pStyle w:val="Heading3"/>
        <w:spacing w:after="100" w:before="200"/>
      </w:pPr>
      <w:r>
        <w:t xml:space="preserve">Where it appears (A)</w:t>
      </w:r>
    </w:p>
    <w:p>
      <w:pPr>
        <w:pStyle w:val="ListParagraph"/>
        <w:numPr>
          <w:ilvl w:val="0"/>
          <w:numId w:val="1"/>
        </w:numPr>
        <w:spacing w:after="60"/>
      </w:pPr>
      <w:r>
        <w:t xml:space="preserve">H2: "AI Across the Development Lifecycle: 40% Faster Delivery" (states 40% flat, no range, in the heading itself)</w:t>
      </w:r>
    </w:p>
    <w:p>
      <w:pPr>
        <w:pStyle w:val="ListParagraph"/>
        <w:numPr>
          <w:ilvl w:val="0"/>
          <w:numId w:val="1"/>
        </w:numPr>
        <w:spacing w:after="60"/>
      </w:pPr>
      <w:r>
        <w:t xml:space="preserve">Body copy directly beneath it: "This ensures a 30%–40% faster time-to-market while maintaining a superior standard of code quality" (states the range)</w:t>
      </w:r>
    </w:p>
    <w:p>
      <w:pPr>
        <w:pStyle w:val="ListParagraph"/>
        <w:numPr>
          <w:ilvl w:val="0"/>
          <w:numId w:val="1"/>
        </w:numPr>
        <w:spacing w:after="60"/>
      </w:pPr>
      <w:r>
        <w:t xml:space="preserve">The mid-page CTA banner references "high-velocity AI innovation" without a number, consistent with the claim's spirit</w:t>
      </w:r>
    </w:p>
    <w:p>
      <w:pPr>
        <w:pStyle w:val="Heading3"/>
        <w:spacing w:after="100" w:before="200"/>
      </w:pPr>
      <w:r>
        <w:t xml:space="preserve">What the claim appears to mean (B)</w:t>
      </w:r>
    </w:p>
    <w:p>
      <w:pPr>
        <w:spacing w:after="160"/>
      </w:pPr>
      <w:r>
        <w:rPr>
          <w:b w:val="false"/>
          <w:bCs w:val="false"/>
          <w:i w:val="false"/>
          <w:iCs w:val="false"/>
        </w:rPr>
        <w:t xml:space="preserve">A reduction in time-to-market/delivery time attributable to Zediant's AI-assisted engineering practices, illustrated by the four named practices immediately below it (Code Acceleration, Testing Automation, Smart Debugging, Knowledge Generation).</w:t>
      </w:r>
    </w:p>
    <w:p>
      <w:pPr>
        <w:pStyle w:val="Heading3"/>
        <w:spacing w:after="100" w:before="200"/>
      </w:pPr>
      <w:r>
        <w:t xml:space="preserve">Does the surrounding copy support it? (B)</w:t>
      </w:r>
    </w:p>
    <w:p>
      <w:pPr>
        <w:spacing w:after="160"/>
      </w:pPr>
      <w:r>
        <w:rPr>
          <w:b w:val="false"/>
          <w:bCs w:val="false"/>
          <w:i w:val="false"/>
          <w:iCs w:val="false"/>
        </w:rPr>
        <w:t xml:space="preserve">Directionally yes — the four named practices are a reasonable, specific explanation of how such a figure could be achieved, which is better support than the same claim receives on some of the other three service pages. What's missing is explicit attribution: nothing on the page says this is a company-reported/self-measured figure rather than an independently audited one. Per company.md, this is exactly right (30–40% is a genuine, approved, company-stated figure — see the pod-level 30–40% and coding-only 30–45% figures documented there), but policies/claims-and-compliance.md's own CONFIRMED / LIKELY / UNKNOWN framework calls for company-stated figures to be attributed as such, and the page currently states it as flat, unqualified fact.</w:t>
      </w:r>
    </w:p>
    <w:p>
      <w:pPr>
        <w:pStyle w:val="Heading3"/>
        <w:spacing w:after="100" w:before="200"/>
      </w:pPr>
      <w:r>
        <w:t xml:space="preserve">Is the claim overly broad, or positioned as a guarantee? (B)</w:t>
      </w:r>
    </w:p>
    <w:p>
      <w:pPr>
        <w:spacing w:after="160"/>
      </w:pPr>
      <w:r>
        <w:rPr>
          <w:b w:val="false"/>
          <w:bCs w:val="false"/>
          <w:i w:val="false"/>
          <w:iCs w:val="false"/>
        </w:rPr>
        <w:t xml:space="preserve">Not positioned as a guarantee — good; there's no "we guarantee" language attached to this specific figure (contrast with the security section's "guarantee maximum security," which is a genuine overclaim elsewhere on the page). The claim is broad in the sense that it's presented as a flat number applicable to any engagement, without the light qualification ("typically," "on comparable engagements") that would make it feel calibrated rather than templated — this is also the exact figure repeated near-identically on three other service pages, which compounds the templated feel specifically on this page, where the AI-related claims already carry the most scrutiny.</w:t>
      </w:r>
    </w:p>
    <w:p>
      <w:pPr>
        <w:pStyle w:val="Heading3"/>
        <w:spacing w:after="100" w:before="200"/>
      </w:pPr>
      <w:r>
        <w:t xml:space="preserve">Recommendation (C) — do not remove</w:t>
      </w:r>
    </w:p>
    <w:p>
      <w:pPr>
        <w:spacing w:after="160"/>
      </w:pPr>
      <w:r>
        <w:rPr>
          <w:b w:val="false"/>
          <w:bCs w:val="false"/>
          <w:i w:val="false"/>
          <w:iCs w:val="false"/>
        </w:rPr>
        <w:t xml:space="preserve">Per the task's explicit instruction, this figure has an approved source and should not be removed. Recommended treatment for a future implementation pass: (1) attribute it explicitly as company-reported/self-measured ("Zediant's engagement data shows..." or similar, consistent with company.md's own "attribute as company-stated" instruction); (2) keep the tie to the four named AI-assisted practices, since that's the strongest explanatory support the claim has anywhere on the site; (3) differentiate this page's framing of the figure (e.g., tie it to product/roadmap time-to-market specifically) from the deployment-velocity framing used on Platform Engineering and the generic framing on the other two pages, so the same number doesn't read as a copy-pasted template stat four times across the site.</w:t>
      </w:r>
    </w:p>
    <w:p>
      <w:r>
        <w:br w:type="page"/>
      </w:r>
    </w:p>
    <w:p>
      <w:pPr>
        <w:pStyle w:val="Heading1"/>
        <w:spacing w:after="200" w:before="400"/>
      </w:pPr>
      <w:r>
        <w:t xml:space="preserve">11. Proof / Case Study Audit</w:t>
      </w:r>
    </w:p>
    <w:p>
      <w:pPr>
        <w:spacing w:after="160"/>
      </w:pPr>
      <w:r>
        <w:rPr>
          <w:b w:val="false"/>
          <w:bCs w:val="false"/>
          <w:i w:val="false"/>
          <w:iCs w:val="false"/>
        </w:rPr>
        <w:t xml:space="preserve">Current state (A): zero case studies, testimonials, or named client outcomes appear anywhere on this page — confirmed by direct review of the full rendered page. This matches the finding, already on file in this project, that none of Zediant's four service pages link to any case study.</w:t>
      </w:r>
    </w:p>
    <w:p>
      <w:pPr>
        <w:spacing w:after="160"/>
      </w:pPr>
      <w:r>
        <w:rPr>
          <w:b w:val="false"/>
          <w:bCs w:val="false"/>
          <w:i w:val="false"/>
          <w:iCs w:val="false"/>
        </w:rPr>
        <w:t xml:space="preserve">Per context/case_studies.md and services.md, no case study on Zediant's site demonstrates AI-embedded/LLM product delivery — this is a documented, approved guardrail, not a gap this audit can fill by recommending a different case study. Any case study used on this page must be framed as evidence of product-build and engineering-delivery capability, never as evidence of AI/LLM feature delivery.</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700"/>
        <w:gridCol w:w="1900"/>
        <w:gridCol w:w="1500"/>
        <w:gridCol w:w="1600"/>
      </w:tblGrid>
      <w:tr>
        <w:trPr>
          <w:tblHeader/>
        </w:trPr>
        <w:tc>
          <w:tcPr>
            <w:tcW w:type="dxa" w:w="1900"/>
            <w:shd w:fill="1F3864" w:val="clear"/>
            <w:tcMar>
              <w:top w:type="dxa" w:w="60"/>
              <w:left w:type="dxa" w:w="100"/>
              <w:bottom w:type="dxa" w:w="60"/>
              <w:right w:type="dxa" w:w="100"/>
            </w:tcMar>
          </w:tcPr>
          <w:p>
            <w:r>
              <w:rPr>
                <w:b/>
                <w:bCs/>
                <w:color w:val="FFFFFF"/>
                <w:sz w:val="18"/>
                <w:szCs w:val="18"/>
              </w:rPr>
              <w:t xml:space="preserve">Candidate</w:t>
            </w:r>
          </w:p>
        </w:tc>
        <w:tc>
          <w:tcPr>
            <w:tcW w:type="dxa" w:w="1750"/>
            <w:shd w:fill="1F3864" w:val="clear"/>
            <w:tcMar>
              <w:top w:type="dxa" w:w="60"/>
              <w:left w:type="dxa" w:w="100"/>
              <w:bottom w:type="dxa" w:w="60"/>
              <w:right w:type="dxa" w:w="100"/>
            </w:tcMar>
          </w:tcPr>
          <w:p>
            <w:r>
              <w:rPr>
                <w:b/>
                <w:bCs/>
                <w:color w:val="FFFFFF"/>
                <w:sz w:val="18"/>
                <w:szCs w:val="18"/>
              </w:rPr>
              <w:t xml:space="preserve">Why relevant</w:t>
            </w:r>
          </w:p>
        </w:tc>
        <w:tc>
          <w:tcPr>
            <w:tcW w:type="dxa" w:w="1700"/>
            <w:shd w:fill="1F3864" w:val="clear"/>
            <w:tcMar>
              <w:top w:type="dxa" w:w="60"/>
              <w:left w:type="dxa" w:w="100"/>
              <w:bottom w:type="dxa" w:w="60"/>
              <w:right w:type="dxa" w:w="100"/>
            </w:tcMar>
          </w:tcPr>
          <w:p>
            <w:r>
              <w:rPr>
                <w:b/>
                <w:bCs/>
                <w:color w:val="FFFFFF"/>
                <w:sz w:val="18"/>
                <w:szCs w:val="18"/>
              </w:rPr>
              <w:t xml:space="preserve">Problem demonstrated</w:t>
            </w:r>
          </w:p>
        </w:tc>
        <w:tc>
          <w:tcPr>
            <w:tcW w:type="dxa" w:w="1900"/>
            <w:shd w:fill="1F3864" w:val="clear"/>
            <w:tcMar>
              <w:top w:type="dxa" w:w="60"/>
              <w:left w:type="dxa" w:w="100"/>
              <w:bottom w:type="dxa" w:w="60"/>
              <w:right w:type="dxa" w:w="100"/>
            </w:tcMar>
          </w:tcPr>
          <w:p>
            <w:r>
              <w:rPr>
                <w:b/>
                <w:bCs/>
                <w:color w:val="FFFFFF"/>
                <w:sz w:val="18"/>
                <w:szCs w:val="18"/>
              </w:rPr>
              <w:t xml:space="preserve">Capability demonstrated</w:t>
            </w:r>
          </w:p>
        </w:tc>
        <w:tc>
          <w:tcPr>
            <w:tcW w:type="dxa" w:w="1500"/>
            <w:shd w:fill="1F3864" w:val="clear"/>
            <w:tcMar>
              <w:top w:type="dxa" w:w="60"/>
              <w:left w:type="dxa" w:w="100"/>
              <w:bottom w:type="dxa" w:w="60"/>
              <w:right w:type="dxa" w:w="100"/>
            </w:tcMar>
          </w:tcPr>
          <w:p>
            <w:r>
              <w:rPr>
                <w:b/>
                <w:bCs/>
                <w:color w:val="FFFFFF"/>
                <w:sz w:val="18"/>
                <w:szCs w:val="18"/>
              </w:rPr>
              <w:t xml:space="preserve">Proof provided</w:t>
            </w:r>
          </w:p>
        </w:tc>
        <w:tc>
          <w:tcPr>
            <w:tcW w:type="dxa" w:w="1600"/>
            <w:shd w:fill="1F3864" w:val="clear"/>
            <w:tcMar>
              <w:top w:type="dxa" w:w="60"/>
              <w:left w:type="dxa" w:w="100"/>
              <w:bottom w:type="dxa" w:w="60"/>
              <w:right w:type="dxa" w:w="100"/>
            </w:tcMar>
          </w:tcPr>
          <w:p>
            <w:r>
              <w:rPr>
                <w:b/>
                <w:bCs/>
                <w:color w:val="FFFFFF"/>
                <w:sz w:val="18"/>
                <w:szCs w:val="18"/>
              </w:rPr>
              <w:t xml:space="preserve">Where it would fit</w:t>
            </w:r>
          </w:p>
        </w:tc>
      </w:tr>
      <w:tr>
        <w:tc>
          <w:tcPr>
            <w:tcW w:type="dxa" w:w="1900"/>
            <w:tcMar>
              <w:top w:type="dxa" w:w="60"/>
              <w:left w:type="dxa" w:w="100"/>
              <w:bottom w:type="dxa" w:w="60"/>
              <w:right w:type="dxa" w:w="100"/>
            </w:tcMar>
          </w:tcPr>
          <w:p>
            <w:r>
              <w:rPr>
                <w:b w:val="false"/>
                <w:bCs w:val="false"/>
                <w:sz w:val="18"/>
                <w:szCs w:val="18"/>
              </w:rPr>
              <w:t xml:space="preserve">Real-Time Executive Dashboards (Zakaa / Diamond Professional Consultants)</w:t>
            </w:r>
          </w:p>
        </w:tc>
        <w:tc>
          <w:tcPr>
            <w:tcW w:type="dxa" w:w="1750"/>
            <w:tcMar>
              <w:top w:type="dxa" w:w="60"/>
              <w:left w:type="dxa" w:w="100"/>
              <w:bottom w:type="dxa" w:w="60"/>
              <w:right w:type="dxa" w:w="100"/>
            </w:tcMar>
          </w:tcPr>
          <w:p>
            <w:r>
              <w:rPr>
                <w:b w:val="false"/>
                <w:bCs w:val="false"/>
                <w:sz w:val="18"/>
                <w:szCs w:val="18"/>
              </w:rPr>
              <w:t xml:space="preserve">Closest available fit for this service — a custom platform/product build from discovery through delivery, for a client needing both an executive summary view and drill-down detail.</w:t>
            </w:r>
          </w:p>
        </w:tc>
        <w:tc>
          <w:tcPr>
            <w:tcW w:type="dxa" w:w="1700"/>
            <w:tcMar>
              <w:top w:type="dxa" w:w="60"/>
              <w:left w:type="dxa" w:w="100"/>
              <w:bottom w:type="dxa" w:w="60"/>
              <w:right w:type="dxa" w:w="100"/>
            </w:tcMar>
          </w:tcPr>
          <w:p>
            <w:r>
              <w:rPr>
                <w:b w:val="false"/>
                <w:bCs w:val="false"/>
                <w:sz w:val="18"/>
                <w:szCs w:val="18"/>
              </w:rPr>
              <w:t xml:space="preserve">Needed an exec-level + drill-down BI dashboard aligned to brand, for internal decision-making.</w:t>
            </w:r>
          </w:p>
        </w:tc>
        <w:tc>
          <w:tcPr>
            <w:tcW w:type="dxa" w:w="1900"/>
            <w:tcMar>
              <w:top w:type="dxa" w:w="60"/>
              <w:left w:type="dxa" w:w="100"/>
              <w:bottom w:type="dxa" w:w="60"/>
              <w:right w:type="dxa" w:w="100"/>
            </w:tcMar>
          </w:tcPr>
          <w:p>
            <w:r>
              <w:rPr>
                <w:b w:val="false"/>
                <w:bCs w:val="false"/>
                <w:sz w:val="18"/>
                <w:szCs w:val="18"/>
              </w:rPr>
              <w:t xml:space="preserve">Discovery-to-build product engineering: collaborative requirements discovery, custom dashboard architecture (Python, React, Oracle).</w:t>
            </w:r>
          </w:p>
        </w:tc>
        <w:tc>
          <w:tcPr>
            <w:tcW w:type="dxa" w:w="1500"/>
            <w:tcMar>
              <w:top w:type="dxa" w:w="60"/>
              <w:left w:type="dxa" w:w="100"/>
              <w:bottom w:type="dxa" w:w="60"/>
              <w:right w:type="dxa" w:w="100"/>
            </w:tcMar>
          </w:tcPr>
          <w:p>
            <w:r>
              <w:rPr>
                <w:b w:val="false"/>
                <w:bCs w:val="false"/>
                <w:sz w:val="18"/>
                <w:szCs w:val="18"/>
              </w:rPr>
              <w:t xml:space="preserve">Qualitative: improved engagement, better decision-making, competitive edge (no numeric metric documented — do not add one).</w:t>
            </w:r>
          </w:p>
        </w:tc>
        <w:tc>
          <w:tcPr>
            <w:tcW w:type="dxa" w:w="1600"/>
            <w:tcMar>
              <w:top w:type="dxa" w:w="60"/>
              <w:left w:type="dxa" w:w="100"/>
              <w:bottom w:type="dxa" w:w="60"/>
              <w:right w:type="dxa" w:w="100"/>
            </w:tcMar>
          </w:tcPr>
          <w:p>
            <w:r>
              <w:rPr>
                <w:b w:val="false"/>
                <w:bCs w:val="false"/>
                <w:sz w:val="18"/>
                <w:szCs w:val="18"/>
              </w:rPr>
              <w:t xml:space="preserve">A "case study spotlight" section, positioned after the AI-assisted-delivery section and before the industry-vertical grid.</w:t>
            </w:r>
          </w:p>
        </w:tc>
      </w:tr>
      <w:tr>
        <w:tc>
          <w:tcPr>
            <w:tcW w:type="dxa" w:w="1900"/>
            <w:tcMar>
              <w:top w:type="dxa" w:w="60"/>
              <w:left w:type="dxa" w:w="100"/>
              <w:bottom w:type="dxa" w:w="60"/>
              <w:right w:type="dxa" w:w="100"/>
            </w:tcMar>
          </w:tcPr>
          <w:p>
            <w:r>
              <w:rPr>
                <w:b w:val="false"/>
                <w:bCs w:val="false"/>
                <w:sz w:val="18"/>
                <w:szCs w:val="18"/>
              </w:rPr>
              <w:t xml:space="preserve">Team Augmentation for Automotive Software</w:t>
            </w:r>
          </w:p>
        </w:tc>
        <w:tc>
          <w:tcPr>
            <w:tcW w:type="dxa" w:w="1750"/>
            <w:tcMar>
              <w:top w:type="dxa" w:w="60"/>
              <w:left w:type="dxa" w:w="100"/>
              <w:bottom w:type="dxa" w:w="60"/>
              <w:right w:type="dxa" w:w="100"/>
            </w:tcMar>
          </w:tcPr>
          <w:p>
            <w:r>
              <w:rPr>
                <w:b w:val="false"/>
                <w:bCs w:val="false"/>
                <w:sz w:val="18"/>
                <w:szCs w:val="18"/>
              </w:rPr>
              <w:t xml:space="preserve">Strongest engineering-credibility evidence on the whole site; demonstrates senior, sustained product ownership, which supports this page's "product engineering, not staffing" positioning even though its primary service fit is Dedicated Engineering.</w:t>
            </w:r>
          </w:p>
        </w:tc>
        <w:tc>
          <w:tcPr>
            <w:tcW w:type="dxa" w:w="1700"/>
            <w:tcMar>
              <w:top w:type="dxa" w:w="60"/>
              <w:left w:type="dxa" w:w="100"/>
              <w:bottom w:type="dxa" w:w="60"/>
              <w:right w:type="dxa" w:w="100"/>
            </w:tcMar>
          </w:tcPr>
          <w:p>
            <w:r>
              <w:rPr>
                <w:b w:val="false"/>
                <w:bCs w:val="false"/>
                <w:sz w:val="18"/>
                <w:szCs w:val="18"/>
              </w:rPr>
              <w:t xml:space="preserve">No in-house expertise for evolving CRM/mobile demands to fintech-grade security standards.</w:t>
            </w:r>
          </w:p>
        </w:tc>
        <w:tc>
          <w:tcPr>
            <w:tcW w:type="dxa" w:w="1900"/>
            <w:tcMar>
              <w:top w:type="dxa" w:w="60"/>
              <w:left w:type="dxa" w:w="100"/>
              <w:bottom w:type="dxa" w:w="60"/>
              <w:right w:type="dxa" w:w="100"/>
            </w:tcMar>
          </w:tcPr>
          <w:p>
            <w:r>
              <w:rPr>
                <w:b w:val="false"/>
                <w:bCs w:val="false"/>
                <w:sz w:val="18"/>
                <w:szCs w:val="18"/>
              </w:rPr>
              <w:t xml:space="preserve">Multi-phase build (AWS setup, reverse engineering, iOS/Android apps), sustained 3+ year partnership, 8+ major features shipped.</w:t>
            </w:r>
          </w:p>
        </w:tc>
        <w:tc>
          <w:tcPr>
            <w:tcW w:type="dxa" w:w="1500"/>
            <w:tcMar>
              <w:top w:type="dxa" w:w="60"/>
              <w:left w:type="dxa" w:w="100"/>
              <w:bottom w:type="dxa" w:w="60"/>
              <w:right w:type="dxa" w:w="100"/>
            </w:tcMar>
          </w:tcPr>
          <w:p>
            <w:r>
              <w:rPr>
                <w:b w:val="false"/>
                <w:bCs w:val="false"/>
                <w:sz w:val="18"/>
                <w:szCs w:val="18"/>
              </w:rPr>
              <w:t xml:space="preserve">Test coverage improved 70%→93% (verbatim, matches case_studies.md exactly).</w:t>
            </w:r>
          </w:p>
        </w:tc>
        <w:tc>
          <w:tcPr>
            <w:tcW w:type="dxa" w:w="1600"/>
            <w:tcMar>
              <w:top w:type="dxa" w:w="60"/>
              <w:left w:type="dxa" w:w="100"/>
              <w:bottom w:type="dxa" w:w="60"/>
              <w:right w:type="dxa" w:w="100"/>
            </w:tcMar>
          </w:tcPr>
          <w:p>
            <w:r>
              <w:rPr>
                <w:b w:val="false"/>
                <w:bCs w:val="false"/>
                <w:sz w:val="18"/>
                <w:szCs w:val="18"/>
              </w:rPr>
              <w:t xml:space="preserve">Secondary proof point / pull-quote if a second case study is wanted; do not relabel it as an AI-Enabled Product Engineering case study — its documented best-fit service is Dedicated Engineering Pods.</w:t>
            </w:r>
          </w:p>
        </w:tc>
      </w:tr>
      <w:tr>
        <w:tc>
          <w:tcPr>
            <w:tcW w:type="dxa" w:w="1900"/>
            <w:tcMar>
              <w:top w:type="dxa" w:w="60"/>
              <w:left w:type="dxa" w:w="100"/>
              <w:bottom w:type="dxa" w:w="60"/>
              <w:right w:type="dxa" w:w="100"/>
            </w:tcMar>
          </w:tcPr>
          <w:p>
            <w:r>
              <w:rPr>
                <w:b w:val="false"/>
                <w:bCs w:val="false"/>
                <w:sz w:val="18"/>
                <w:szCs w:val="18"/>
              </w:rPr>
              <w:t xml:space="preserve">Wholesale Parts CRM</w:t>
            </w:r>
          </w:p>
        </w:tc>
        <w:tc>
          <w:tcPr>
            <w:tcW w:type="dxa" w:w="1750"/>
            <w:tcMar>
              <w:top w:type="dxa" w:w="60"/>
              <w:left w:type="dxa" w:w="100"/>
              <w:bottom w:type="dxa" w:w="60"/>
              <w:right w:type="dxa" w:w="100"/>
            </w:tcMar>
          </w:tcPr>
          <w:p>
            <w:r>
              <w:rPr>
                <w:b w:val="false"/>
                <w:bCs w:val="false"/>
                <w:sz w:val="18"/>
                <w:szCs w:val="18"/>
              </w:rPr>
              <w:t xml:space="preserve">A genuine build of a new product (CRM + middleware + reporting) from nothing for an automotive SaaS/DaaS provider — the closest thing on the site to a "we built a new platform for a product company" story.</w:t>
            </w:r>
          </w:p>
        </w:tc>
        <w:tc>
          <w:tcPr>
            <w:tcW w:type="dxa" w:w="1700"/>
            <w:tcMar>
              <w:top w:type="dxa" w:w="60"/>
              <w:left w:type="dxa" w:w="100"/>
              <w:bottom w:type="dxa" w:w="60"/>
              <w:right w:type="dxa" w:w="100"/>
            </w:tcMar>
          </w:tcPr>
          <w:p>
            <w:r>
              <w:rPr>
                <w:b w:val="false"/>
                <w:bCs w:val="false"/>
                <w:sz w:val="18"/>
                <w:szCs w:val="18"/>
              </w:rPr>
              <w:t xml:space="preserve">No CRM existed for sales/service reps; no audit or issue-tracking tooling.</w:t>
            </w:r>
          </w:p>
        </w:tc>
        <w:tc>
          <w:tcPr>
            <w:tcW w:type="dxa" w:w="1900"/>
            <w:tcMar>
              <w:top w:type="dxa" w:w="60"/>
              <w:left w:type="dxa" w:w="100"/>
              <w:bottom w:type="dxa" w:w="60"/>
              <w:right w:type="dxa" w:w="100"/>
            </w:tcMar>
          </w:tcPr>
          <w:p>
            <w:r>
              <w:rPr>
                <w:b w:val="false"/>
                <w:bCs w:val="false"/>
                <w:sz w:val="18"/>
                <w:szCs w:val="18"/>
              </w:rPr>
              <w:t xml:space="preserve">Custom CRM, middleware, and analytics/reporting layer, built from scratch.</w:t>
            </w:r>
          </w:p>
        </w:tc>
        <w:tc>
          <w:tcPr>
            <w:tcW w:type="dxa" w:w="1500"/>
            <w:tcMar>
              <w:top w:type="dxa" w:w="60"/>
              <w:left w:type="dxa" w:w="100"/>
              <w:bottom w:type="dxa" w:w="60"/>
              <w:right w:type="dxa" w:w="100"/>
            </w:tcMar>
          </w:tcPr>
          <w:p>
            <w:r>
              <w:rPr>
                <w:b w:val="false"/>
                <w:bCs w:val="false"/>
                <w:sz w:val="18"/>
                <w:szCs w:val="18"/>
              </w:rPr>
              <w:t xml:space="preserve">"50+ dealers across ASPAC with their 5,700 customers" (verbatim, matches case_studies.md exactly).</w:t>
            </w:r>
          </w:p>
        </w:tc>
        <w:tc>
          <w:tcPr>
            <w:tcW w:type="dxa" w:w="1600"/>
            <w:tcMar>
              <w:top w:type="dxa" w:w="60"/>
              <w:left w:type="dxa" w:w="100"/>
              <w:bottom w:type="dxa" w:w="60"/>
              <w:right w:type="dxa" w:w="100"/>
            </w:tcMar>
          </w:tcPr>
          <w:p>
            <w:r>
              <w:rPr>
                <w:b w:val="false"/>
                <w:bCs w:val="false"/>
                <w:sz w:val="18"/>
                <w:szCs w:val="18"/>
              </w:rPr>
              <w:t xml:space="preserve">Alternative to Zakaa if a build-from-scratch narrative is preferred over a BI-dashboard narrative.</w:t>
            </w:r>
          </w:p>
        </w:tc>
      </w:tr>
    </w:tbl>
    <w:p>
      <w:pPr>
        <w:spacing w:after="160"/>
      </w:pPr>
      <w:r>
        <w:rPr>
          <w:b w:val="false"/>
          <w:bCs w:val="false"/>
          <w:i w:val="false"/>
          <w:iCs w:val="false"/>
        </w:rPr>
        <w:t xml:space="preserve">No results, client names beyond what's already publicly used (Diamond Professional Consultants), or metrics beyond what's documented above should be invented for this page — consistent with the task's explicit instruction and with policies/claims-and-compliance.md §8.</w:t>
      </w:r>
    </w:p>
    <w:p>
      <w:pPr>
        <w:pStyle w:val="Heading1"/>
        <w:spacing w:after="200" w:before="400"/>
      </w:pPr>
      <w:r>
        <w:t xml:space="preserve">12. Trust &amp; Credibility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50"/>
      </w:tblGrid>
      <w:tr>
        <w:trPr>
          <w:tblHeader/>
        </w:trPr>
        <w:tc>
          <w:tcPr>
            <w:tcW w:type="dxa" w:w="2100"/>
            <w:shd w:fill="1F3864" w:val="clear"/>
            <w:tcMar>
              <w:top w:type="dxa" w:w="60"/>
              <w:left w:type="dxa" w:w="100"/>
              <w:bottom w:type="dxa" w:w="60"/>
              <w:right w:type="dxa" w:w="100"/>
            </w:tcMar>
          </w:tcPr>
          <w:p>
            <w:r>
              <w:rPr>
                <w:b/>
                <w:bCs/>
                <w:color w:val="FFFFFF"/>
                <w:sz w:val="18"/>
                <w:szCs w:val="18"/>
              </w:rPr>
              <w:t xml:space="preserve">Signal</w:t>
            </w:r>
          </w:p>
        </w:tc>
        <w:tc>
          <w:tcPr>
            <w:tcW w:type="dxa" w:w="3300"/>
            <w:shd w:fill="1F3864" w:val="clear"/>
            <w:tcMar>
              <w:top w:type="dxa" w:w="60"/>
              <w:left w:type="dxa" w:w="100"/>
              <w:bottom w:type="dxa" w:w="60"/>
              <w:right w:type="dxa" w:w="100"/>
            </w:tcMar>
          </w:tcPr>
          <w:p>
            <w:r>
              <w:rPr>
                <w:b/>
                <w:bCs/>
                <w:color w:val="FFFFFF"/>
                <w:sz w:val="18"/>
                <w:szCs w:val="18"/>
              </w:rPr>
              <w:t xml:space="preserve">Present on this page? (A)</w:t>
            </w:r>
          </w:p>
        </w:tc>
        <w:tc>
          <w:tcPr>
            <w:tcW w:type="dxa" w:w="3950"/>
            <w:shd w:fill="1F3864" w:val="clear"/>
            <w:tcMar>
              <w:top w:type="dxa" w:w="60"/>
              <w:left w:type="dxa" w:w="100"/>
              <w:bottom w:type="dxa" w:w="60"/>
              <w:right w:type="dxa" w:w="100"/>
            </w:tcMar>
          </w:tcPr>
          <w:p>
            <w:r>
              <w:rPr>
                <w:b/>
                <w:bCs/>
                <w:color w:val="FFFFFF"/>
                <w:sz w:val="18"/>
                <w:szCs w:val="18"/>
              </w:rPr>
              <w:t xml:space="preserve">Assessment (B)</w:t>
            </w:r>
          </w:p>
        </w:tc>
      </w:tr>
      <w:tr>
        <w:tc>
          <w:tcPr>
            <w:tcW w:type="dxa" w:w="2100"/>
            <w:tcMar>
              <w:top w:type="dxa" w:w="60"/>
              <w:left w:type="dxa" w:w="100"/>
              <w:bottom w:type="dxa" w:w="60"/>
              <w:right w:type="dxa" w:w="100"/>
            </w:tcMar>
          </w:tcPr>
          <w:p>
            <w:r>
              <w:rPr>
                <w:b w:val="false"/>
                <w:bCs w:val="false"/>
                <w:sz w:val="18"/>
                <w:szCs w:val="18"/>
              </w:rPr>
              <w:t xml:space="preserve">Client logos</w:t>
            </w:r>
          </w:p>
        </w:tc>
        <w:tc>
          <w:tcPr>
            <w:tcW w:type="dxa" w:w="3300"/>
            <w:tcMar>
              <w:top w:type="dxa" w:w="60"/>
              <w:left w:type="dxa" w:w="100"/>
              <w:bottom w:type="dxa" w:w="60"/>
              <w:right w:type="dxa" w:w="100"/>
            </w:tcMar>
          </w:tcPr>
          <w:p>
            <w:r>
              <w:rPr>
                <w:b w:val="false"/>
                <w:bCs w:val="false"/>
                <w:sz w:val="18"/>
                <w:szCs w:val="18"/>
              </w:rPr>
              <w:t xml:space="preserve">No</w:t>
            </w:r>
          </w:p>
        </w:tc>
        <w:tc>
          <w:tcPr>
            <w:tcW w:type="dxa" w:w="3950"/>
            <w:tcMar>
              <w:top w:type="dxa" w:w="60"/>
              <w:left w:type="dxa" w:w="100"/>
              <w:bottom w:type="dxa" w:w="60"/>
              <w:right w:type="dxa" w:w="100"/>
            </w:tcMar>
          </w:tcPr>
          <w:p>
            <w:r>
              <w:rPr>
                <w:b w:val="false"/>
                <w:bCs w:val="false"/>
                <w:sz w:val="18"/>
                <w:szCs w:val="18"/>
              </w:rPr>
              <w:t xml:space="preserve">Missing — homepage carries 8 logos (Networx, Stager, ZwickRoell, Dijgtal, Madison World, The Wall, 11Wickets, Diamond) that could be selectively excerpted.</w:t>
            </w:r>
          </w:p>
        </w:tc>
      </w:tr>
      <w:tr>
        <w:tc>
          <w:tcPr>
            <w:tcW w:type="dxa" w:w="2100"/>
            <w:tcMar>
              <w:top w:type="dxa" w:w="60"/>
              <w:left w:type="dxa" w:w="100"/>
              <w:bottom w:type="dxa" w:w="60"/>
              <w:right w:type="dxa" w:w="100"/>
            </w:tcMar>
          </w:tcPr>
          <w:p>
            <w:r>
              <w:rPr>
                <w:b w:val="false"/>
                <w:bCs w:val="false"/>
                <w:sz w:val="18"/>
                <w:szCs w:val="18"/>
              </w:rPr>
              <w:t xml:space="preserve">Testimonials</w:t>
            </w:r>
          </w:p>
        </w:tc>
        <w:tc>
          <w:tcPr>
            <w:tcW w:type="dxa" w:w="3300"/>
            <w:tcMar>
              <w:top w:type="dxa" w:w="60"/>
              <w:left w:type="dxa" w:w="100"/>
              <w:bottom w:type="dxa" w:w="60"/>
              <w:right w:type="dxa" w:w="100"/>
            </w:tcMar>
          </w:tcPr>
          <w:p>
            <w:r>
              <w:rPr>
                <w:b w:val="false"/>
                <w:bCs w:val="false"/>
                <w:sz w:val="18"/>
                <w:szCs w:val="18"/>
              </w:rPr>
              <w:t xml:space="preserve">No</w:t>
            </w:r>
          </w:p>
        </w:tc>
        <w:tc>
          <w:tcPr>
            <w:tcW w:type="dxa" w:w="3950"/>
            <w:tcMar>
              <w:top w:type="dxa" w:w="60"/>
              <w:left w:type="dxa" w:w="100"/>
              <w:bottom w:type="dxa" w:w="60"/>
              <w:right w:type="dxa" w:w="100"/>
            </w:tcMar>
          </w:tcPr>
          <w:p>
            <w:r>
              <w:rPr>
                <w:b w:val="false"/>
                <w:bCs w:val="false"/>
                <w:sz w:val="18"/>
                <w:szCs w:val="18"/>
              </w:rPr>
              <w:t xml:space="preserve">Missing — homepage carries 4 named, attributed testimonials that could be selectively excerpted if permissioned for reuse.</w:t>
            </w:r>
          </w:p>
        </w:tc>
      </w:tr>
      <w:tr>
        <w:tc>
          <w:tcPr>
            <w:tcW w:type="dxa" w:w="2100"/>
            <w:tcMar>
              <w:top w:type="dxa" w:w="60"/>
              <w:left w:type="dxa" w:w="100"/>
              <w:bottom w:type="dxa" w:w="60"/>
              <w:right w:type="dxa" w:w="100"/>
            </w:tcMar>
          </w:tcPr>
          <w:p>
            <w:r>
              <w:rPr>
                <w:b w:val="false"/>
                <w:bCs w:val="false"/>
                <w:sz w:val="18"/>
                <w:szCs w:val="18"/>
              </w:rPr>
              <w:t xml:space="preserve">Case studies</w:t>
            </w:r>
          </w:p>
        </w:tc>
        <w:tc>
          <w:tcPr>
            <w:tcW w:type="dxa" w:w="3300"/>
            <w:tcMar>
              <w:top w:type="dxa" w:w="60"/>
              <w:left w:type="dxa" w:w="100"/>
              <w:bottom w:type="dxa" w:w="60"/>
              <w:right w:type="dxa" w:w="100"/>
            </w:tcMar>
          </w:tcPr>
          <w:p>
            <w:r>
              <w:rPr>
                <w:b w:val="false"/>
                <w:bCs w:val="false"/>
                <w:sz w:val="18"/>
                <w:szCs w:val="18"/>
              </w:rPr>
              <w:t xml:space="preserve">No</w:t>
            </w:r>
          </w:p>
        </w:tc>
        <w:tc>
          <w:tcPr>
            <w:tcW w:type="dxa" w:w="3950"/>
            <w:tcMar>
              <w:top w:type="dxa" w:w="60"/>
              <w:left w:type="dxa" w:w="100"/>
              <w:bottom w:type="dxa" w:w="60"/>
              <w:right w:type="dxa" w:w="100"/>
            </w:tcMar>
          </w:tcPr>
          <w:p>
            <w:r>
              <w:rPr>
                <w:b w:val="false"/>
                <w:bCs w:val="false"/>
                <w:sz w:val="18"/>
                <w:szCs w:val="18"/>
              </w:rPr>
              <w:t xml:space="preserve">Missing — see Section 11.</w:t>
            </w:r>
          </w:p>
        </w:tc>
      </w:tr>
      <w:tr>
        <w:tc>
          <w:tcPr>
            <w:tcW w:type="dxa" w:w="2100"/>
            <w:tcMar>
              <w:top w:type="dxa" w:w="60"/>
              <w:left w:type="dxa" w:w="100"/>
              <w:bottom w:type="dxa" w:w="60"/>
              <w:right w:type="dxa" w:w="100"/>
            </w:tcMar>
          </w:tcPr>
          <w:p>
            <w:r>
              <w:rPr>
                <w:b w:val="false"/>
                <w:bCs w:val="false"/>
                <w:sz w:val="18"/>
                <w:szCs w:val="18"/>
              </w:rPr>
              <w:t xml:space="preserve">Security / SOC 2</w:t>
            </w:r>
          </w:p>
        </w:tc>
        <w:tc>
          <w:tcPr>
            <w:tcW w:type="dxa" w:w="3300"/>
            <w:tcMar>
              <w:top w:type="dxa" w:w="60"/>
              <w:left w:type="dxa" w:w="100"/>
              <w:bottom w:type="dxa" w:w="60"/>
              <w:right w:type="dxa" w:w="100"/>
            </w:tcMar>
          </w:tcPr>
          <w:p>
            <w:r>
              <w:rPr>
                <w:b w:val="false"/>
                <w:bCs w:val="false"/>
                <w:sz w:val="18"/>
                <w:szCs w:val="18"/>
              </w:rPr>
              <w:t xml:space="preserve">Yes — "SOC 2 Type II Aligned" used consistently in this live pass</w:t>
            </w:r>
          </w:p>
        </w:tc>
        <w:tc>
          <w:tcPr>
            <w:tcW w:type="dxa" w:w="3950"/>
            <w:tcMar>
              <w:top w:type="dxa" w:w="60"/>
              <w:left w:type="dxa" w:w="100"/>
              <w:bottom w:type="dxa" w:w="60"/>
              <w:right w:type="dxa" w:w="100"/>
            </w:tcMar>
          </w:tcPr>
          <w:p>
            <w:r>
              <w:rPr>
                <w:b w:val="false"/>
                <w:bCs w:val="false"/>
                <w:sz w:val="18"/>
                <w:szCs w:val="18"/>
              </w:rPr>
              <w:t xml:space="preserve">Genuine strength; correctly worded on this specific page today. Two adjacent overclaim phrases ("guarantee maximum security," "Fort Knox") undercut the credibility this correct wording earns — see Section 6, item 7.</w:t>
            </w:r>
          </w:p>
        </w:tc>
      </w:tr>
      <w:tr>
        <w:tc>
          <w:tcPr>
            <w:tcW w:type="dxa" w:w="2100"/>
            <w:tcMar>
              <w:top w:type="dxa" w:w="60"/>
              <w:left w:type="dxa" w:w="100"/>
              <w:bottom w:type="dxa" w:w="60"/>
              <w:right w:type="dxa" w:w="100"/>
            </w:tcMar>
          </w:tcPr>
          <w:p>
            <w:r>
              <w:rPr>
                <w:b w:val="false"/>
                <w:bCs w:val="false"/>
                <w:sz w:val="18"/>
                <w:szCs w:val="18"/>
              </w:rPr>
              <w:t xml:space="preserve">Technology partnerships</w:t>
            </w:r>
          </w:p>
        </w:tc>
        <w:tc>
          <w:tcPr>
            <w:tcW w:type="dxa" w:w="3300"/>
            <w:tcMar>
              <w:top w:type="dxa" w:w="60"/>
              <w:left w:type="dxa" w:w="100"/>
              <w:bottom w:type="dxa" w:w="60"/>
              <w:right w:type="dxa" w:w="100"/>
            </w:tcMar>
          </w:tcPr>
          <w:p>
            <w:r>
              <w:rPr>
                <w:b w:val="false"/>
                <w:bCs w:val="false"/>
                <w:sz w:val="18"/>
                <w:szCs w:val="18"/>
              </w:rPr>
              <w:t xml:space="preserve">No (AWS/Microsoft/NASSCOM/BigCommerce badges appear on the homepage, not here)</w:t>
            </w:r>
          </w:p>
        </w:tc>
        <w:tc>
          <w:tcPr>
            <w:tcW w:type="dxa" w:w="3950"/>
            <w:tcMar>
              <w:top w:type="dxa" w:w="60"/>
              <w:left w:type="dxa" w:w="100"/>
              <w:bottom w:type="dxa" w:w="60"/>
              <w:right w:type="dxa" w:w="100"/>
            </w:tcMar>
          </w:tcPr>
          <w:p>
            <w:r>
              <w:rPr>
                <w:b w:val="false"/>
                <w:bCs w:val="false"/>
                <w:sz w:val="18"/>
                <w:szCs w:val="18"/>
              </w:rPr>
              <w:t xml:space="preserve">A missed opportunity — cloud/AI tooling partner badges would support the AI-assisted-delivery claim more credibly than adjectives do.</w:t>
            </w:r>
          </w:p>
        </w:tc>
      </w:tr>
      <w:tr>
        <w:tc>
          <w:tcPr>
            <w:tcW w:type="dxa" w:w="2100"/>
            <w:tcMar>
              <w:top w:type="dxa" w:w="60"/>
              <w:left w:type="dxa" w:w="100"/>
              <w:bottom w:type="dxa" w:w="60"/>
              <w:right w:type="dxa" w:w="100"/>
            </w:tcMar>
          </w:tcPr>
          <w:p>
            <w:r>
              <w:rPr>
                <w:b w:val="false"/>
                <w:bCs w:val="false"/>
                <w:sz w:val="18"/>
                <w:szCs w:val="18"/>
              </w:rPr>
              <w:t xml:space="preserve">Years/experience stated</w:t>
            </w:r>
          </w:p>
        </w:tc>
        <w:tc>
          <w:tcPr>
            <w:tcW w:type="dxa" w:w="3300"/>
            <w:tcMar>
              <w:top w:type="dxa" w:w="60"/>
              <w:left w:type="dxa" w:w="100"/>
              <w:bottom w:type="dxa" w:w="60"/>
              <w:right w:type="dxa" w:w="100"/>
            </w:tcMar>
          </w:tcPr>
          <w:p>
            <w:r>
              <w:rPr>
                <w:b w:val="false"/>
                <w:bCs w:val="false"/>
                <w:sz w:val="18"/>
                <w:szCs w:val="18"/>
              </w:rPr>
              <w:t xml:space="preserve">No</w:t>
            </w:r>
          </w:p>
        </w:tc>
        <w:tc>
          <w:tcPr>
            <w:tcW w:type="dxa" w:w="3950"/>
            <w:tcMar>
              <w:top w:type="dxa" w:w="60"/>
              <w:left w:type="dxa" w:w="100"/>
              <w:bottom w:type="dxa" w:w="60"/>
              <w:right w:type="dxa" w:w="100"/>
            </w:tcMar>
          </w:tcPr>
          <w:p>
            <w:r>
              <w:rPr>
                <w:b w:val="false"/>
                <w:bCs w:val="false"/>
                <w:sz w:val="18"/>
                <w:szCs w:val="18"/>
              </w:rPr>
              <w:t xml:space="preserve">Who We Are cites 20+ years leadership experience; not referenced here.</w:t>
            </w:r>
          </w:p>
        </w:tc>
      </w:tr>
      <w:tr>
        <w:tc>
          <w:tcPr>
            <w:tcW w:type="dxa" w:w="2100"/>
            <w:tcMar>
              <w:top w:type="dxa" w:w="60"/>
              <w:left w:type="dxa" w:w="100"/>
              <w:bottom w:type="dxa" w:w="60"/>
              <w:right w:type="dxa" w:w="100"/>
            </w:tcMar>
          </w:tcPr>
          <w:p>
            <w:r>
              <w:rPr>
                <w:b w:val="false"/>
                <w:bCs w:val="false"/>
                <w:sz w:val="18"/>
                <w:szCs w:val="18"/>
              </w:rPr>
              <w:t xml:space="preserve">Engineering expertise</w:t>
            </w:r>
          </w:p>
        </w:tc>
        <w:tc>
          <w:tcPr>
            <w:tcW w:type="dxa" w:w="3300"/>
            <w:tcMar>
              <w:top w:type="dxa" w:w="60"/>
              <w:left w:type="dxa" w:w="100"/>
              <w:bottom w:type="dxa" w:w="60"/>
              <w:right w:type="dxa" w:w="100"/>
            </w:tcMar>
          </w:tcPr>
          <w:p>
            <w:r>
              <w:rPr>
                <w:b w:val="false"/>
                <w:bCs w:val="false"/>
                <w:sz w:val="18"/>
                <w:szCs w:val="18"/>
              </w:rPr>
              <w:t xml:space="preserve">Implied via capability cards, not evidenced</w:t>
            </w:r>
          </w:p>
        </w:tc>
        <w:tc>
          <w:tcPr>
            <w:tcW w:type="dxa" w:w="3950"/>
            <w:tcMar>
              <w:top w:type="dxa" w:w="60"/>
              <w:left w:type="dxa" w:w="100"/>
              <w:bottom w:type="dxa" w:w="60"/>
              <w:right w:type="dxa" w:w="100"/>
            </w:tcMar>
          </w:tcPr>
          <w:p>
            <w:r>
              <w:rPr>
                <w:b w:val="false"/>
                <w:bCs w:val="false"/>
                <w:sz w:val="18"/>
                <w:szCs w:val="18"/>
              </w:rPr>
              <w:t xml:space="preserve">See Section 11 — case studies are the fix.</w:t>
            </w:r>
          </w:p>
        </w:tc>
      </w:tr>
      <w:tr>
        <w:tc>
          <w:tcPr>
            <w:tcW w:type="dxa" w:w="2100"/>
            <w:tcMar>
              <w:top w:type="dxa" w:w="60"/>
              <w:left w:type="dxa" w:w="100"/>
              <w:bottom w:type="dxa" w:w="60"/>
              <w:right w:type="dxa" w:w="100"/>
            </w:tcMar>
          </w:tcPr>
          <w:p>
            <w:r>
              <w:rPr>
                <w:b w:val="false"/>
                <w:bCs w:val="false"/>
                <w:sz w:val="18"/>
                <w:szCs w:val="18"/>
              </w:rPr>
              <w:t xml:space="preserve">Global delivery</w:t>
            </w:r>
          </w:p>
        </w:tc>
        <w:tc>
          <w:tcPr>
            <w:tcW w:type="dxa" w:w="3300"/>
            <w:tcMar>
              <w:top w:type="dxa" w:w="60"/>
              <w:left w:type="dxa" w:w="100"/>
              <w:bottom w:type="dxa" w:w="60"/>
              <w:right w:type="dxa" w:w="100"/>
            </w:tcMar>
          </w:tcPr>
          <w:p>
            <w:r>
              <w:rPr>
                <w:b w:val="false"/>
                <w:bCs w:val="false"/>
                <w:sz w:val="18"/>
                <w:szCs w:val="18"/>
              </w:rPr>
              <w:t xml:space="preserve">Yes — "Australia | UAE | India," "Global Engineering Presence" section</w:t>
            </w:r>
          </w:p>
        </w:tc>
        <w:tc>
          <w:tcPr>
            <w:tcW w:type="dxa" w:w="3950"/>
            <w:tcMar>
              <w:top w:type="dxa" w:w="60"/>
              <w:left w:type="dxa" w:w="100"/>
              <w:bottom w:type="dxa" w:w="60"/>
              <w:right w:type="dxa" w:w="100"/>
            </w:tcMar>
          </w:tcPr>
          <w:p>
            <w:r>
              <w:rPr>
                <w:b w:val="false"/>
                <w:bCs w:val="false"/>
                <w:sz w:val="18"/>
                <w:szCs w:val="18"/>
              </w:rPr>
              <w:t xml:space="preserve">Handled well; factual and appropriately modest.</w:t>
            </w:r>
          </w:p>
        </w:tc>
      </w:tr>
    </w:tbl>
    <w:p>
      <w:pPr>
        <w:pStyle w:val="Heading3"/>
        <w:spacing w:after="100" w:before="200"/>
      </w:pPr>
      <w:r>
        <w:t xml:space="preserve">Placement assessment (B)</w:t>
      </w:r>
    </w:p>
    <w:p>
      <w:pPr>
        <w:spacing w:after="160"/>
      </w:pPr>
      <w:r>
        <w:rPr>
          <w:b w:val="false"/>
          <w:bCs w:val="false"/>
          <w:i w:val="false"/>
          <w:iCs w:val="false"/>
        </w:rPr>
        <w:t xml:space="preserve">Security trust appears in a reasonable place (roughly two-thirds down the page, before the final CTA) — this is defensible for a technical B2B buyer who wants capability first, then risk-mitigation before converting. What's missing is not placement but coverage: this page has security trust and nothing else. The strongest fix is not to add more security content (already sufficient) but to add delivery/outcome trust (a case study, and optionally 1–2 excerpted logos or a testimonial) earlier or mid-page, since that's the trust type currently absent.</w:t>
      </w:r>
    </w:p>
    <w:p>
      <w:pPr>
        <w:pStyle w:val="Heading3"/>
        <w:spacing w:after="100" w:before="200"/>
      </w:pPr>
      <w:r>
        <w:t xml:space="preserve">Recommended strongest trust signals for this page (C)</w:t>
      </w:r>
    </w:p>
    <w:p>
      <w:pPr>
        <w:pStyle w:val="ListParagraph"/>
        <w:numPr>
          <w:ilvl w:val="0"/>
          <w:numId w:val="1"/>
        </w:numPr>
        <w:spacing w:after="60"/>
      </w:pPr>
      <w:r>
        <w:t xml:space="preserve">One case study spotlight (Zakaa/Diamond — see Section 11), positioned after the AI-assisted-delivery section.</w:t>
      </w:r>
    </w:p>
    <w:p>
      <w:pPr>
        <w:pStyle w:val="ListParagraph"/>
        <w:numPr>
          <w:ilvl w:val="0"/>
          <w:numId w:val="1"/>
        </w:numPr>
        <w:spacing w:after="60"/>
      </w:pPr>
      <w:r>
        <w:t xml:space="preserve">The existing security section, retained, with the two overclaim phrases corrected.</w:t>
      </w:r>
    </w:p>
    <w:p>
      <w:pPr>
        <w:pStyle w:val="ListParagraph"/>
        <w:numPr>
          <w:ilvl w:val="0"/>
          <w:numId w:val="1"/>
        </w:numPr>
        <w:spacing w:after="60"/>
      </w:pPr>
      <w:r>
        <w:t xml:space="preserve">Optionally, 2–3 of the homepage's existing client logos, if the logos are approved for reuse in this context — this is a linking/reuse decision, not new content.</w:t>
      </w:r>
    </w:p>
    <w:p>
      <w:r>
        <w:br w:type="page"/>
      </w:r>
    </w:p>
    <w:p>
      <w:pPr>
        <w:pStyle w:val="Heading1"/>
        <w:spacing w:after="200" w:before="400"/>
      </w:pPr>
      <w:r>
        <w:t xml:space="preserve">13. Design / UX Audit</w:t>
      </w:r>
    </w:p>
    <w:p>
      <w:pPr>
        <w:spacing w:after="160"/>
      </w:pPr>
      <w:r>
        <w:rPr>
          <w:b w:val="false"/>
          <w:bCs w:val="false"/>
          <w:i w:val="false"/>
          <w:iCs w:val="false"/>
        </w:rPr>
        <w:t xml:space="preserve">Based on a direct, section-by-section rendered walkthrough of the live page (desktop viewport).</w:t>
      </w:r>
    </w:p>
    <w:p>
      <w:pPr>
        <w:pStyle w:val="Heading3"/>
        <w:spacing w:after="100" w:before="200"/>
      </w:pPr>
      <w:r>
        <w:t xml:space="preserve">Visual hierarchy &amp; scannability (B)</w:t>
      </w:r>
    </w:p>
    <w:p>
      <w:pPr>
        <w:spacing w:after="160"/>
      </w:pPr>
      <w:r>
        <w:rPr>
          <w:b w:val="false"/>
          <w:bCs w:val="false"/>
          <w:i w:val="false"/>
          <w:iCs w:val="false"/>
        </w:rPr>
        <w:t xml:space="preserve">Generally strong. Section headers are large and consistent; the capability grid (2x2 cards, alternating light/dark blue) and the AI-lifecycle icon grid (4 white cards with line icons) are both clean, well-spaced, and easy to scan. The check-mark bullet style used for differentiators and "This enables" lists is consistent and readable.</w:t>
      </w:r>
    </w:p>
    <w:p>
      <w:pPr>
        <w:pStyle w:val="Heading3"/>
        <w:spacing w:after="100" w:before="200"/>
      </w:pPr>
      <w:r>
        <w:t xml:space="preserve">Whitespace &amp; information density (B)</w:t>
      </w:r>
    </w:p>
    <w:p>
      <w:pPr>
        <w:spacing w:after="160"/>
      </w:pPr>
      <w:r>
        <w:rPr>
          <w:b w:val="false"/>
          <w:bCs w:val="false"/>
          <w:i w:val="false"/>
          <w:iCs w:val="false"/>
        </w:rPr>
        <w:t xml:space="preserve">Reasonable within sections; the page's real cost is two very large, full-bleed decorative images (a stylized "AI brain" visual after the differentiators section, and a stylized globe/network visual before the "Global Engineering Presence" section) that each occupy a full mobile/near-full desktop viewport height with no text, data, or product content. Combined, a visitor scrolls through a substantial amount of the page's total length before reaching any additional information.</w:t>
      </w:r>
    </w:p>
    <w:p>
      <w:pPr>
        <w:pStyle w:val="Heading3"/>
        <w:spacing w:after="100" w:before="200"/>
      </w:pPr>
      <w:r>
        <w:t xml:space="preserve">Visual storytelling &amp; imagery (B)</w:t>
      </w:r>
    </w:p>
    <w:p>
      <w:pPr>
        <w:spacing w:after="160"/>
      </w:pPr>
      <w:r>
        <w:rPr>
          <w:b w:val="false"/>
          <w:bCs w:val="false"/>
          <w:i w:val="false"/>
          <w:iCs w:val="false"/>
        </w:rPr>
        <w:t xml:space="preserve">This is the design audit's most important finding. Both large images are generic, AI-agency-stock-style renders (a glowing circuit-pattern head/brain; a team of illustrated figures around a holographic cloud/globe) rather than anything specific to Zediant, its product, its dashboards, or its engineering process. This visual language actively reinforces the "generic AI company" positioning risk identified in Sections 8–9 — a buyer scrolling past two large sci-fi AI illustrations forms an impression closer to "AI hype vendor" than "senior product engineering partner," regardless of what the surrounding text says. DESIGNER REQUIRED to replace these with something specific (e.g., an abstracted product/architecture diagram, a real interface screenshot with permission, or imagery consistent with the more restrained hero illustration already used at the top of the page).</w:t>
      </w:r>
    </w:p>
    <w:p>
      <w:pPr>
        <w:pStyle w:val="Heading3"/>
        <w:spacing w:after="100" w:before="200"/>
      </w:pPr>
      <w:r>
        <w:t xml:space="preserve">CTA visibility (B)</w:t>
      </w:r>
    </w:p>
    <w:p>
      <w:pPr>
        <w:spacing w:after="160"/>
      </w:pPr>
      <w:r>
        <w:rPr>
          <w:b w:val="false"/>
          <w:bCs w:val="false"/>
          <w:i w:val="false"/>
          <w:iCs w:val="false"/>
        </w:rPr>
        <w:t xml:space="preserve">Buttons are visually consistent (dark charcoal fill, white text) and easy to find; the persistent floating WhatsApp and "Let's Connect" buttons remain visible throughout the scroll, which is good for accessibility of contact but adds a fourth and fifth CTA surface on top of the three in-page buttons already present (see Section 14).</w:t>
      </w:r>
    </w:p>
    <w:p>
      <w:pPr>
        <w:pStyle w:val="Heading3"/>
        <w:spacing w:after="100" w:before="200"/>
      </w:pPr>
      <w:r>
        <w:t xml:space="preserve">Icons &amp; illustration use (B)</w:t>
      </w:r>
    </w:p>
    <w:p>
      <w:pPr>
        <w:spacing w:after="160"/>
      </w:pPr>
      <w:r>
        <w:rPr>
          <w:b w:val="false"/>
          <w:bCs w:val="false"/>
          <w:i w:val="false"/>
          <w:iCs w:val="false"/>
        </w:rPr>
        <w:t xml:space="preserve">The line-icon style used for the AI-lifecycle grid and the security pillars is clean, on-brand, and appropriately technical in tone — a good contrast to the two large decorative images, and worth preserving as-is.</w:t>
      </w:r>
    </w:p>
    <w:p>
      <w:pPr>
        <w:pStyle w:val="Heading3"/>
        <w:spacing w:after="100" w:before="200"/>
      </w:pPr>
      <w:r>
        <w:t xml:space="preserve">Case-study &amp; trust-signal presentation (B)</w:t>
      </w:r>
    </w:p>
    <w:p>
      <w:pPr>
        <w:spacing w:after="160"/>
      </w:pPr>
      <w:r>
        <w:rPr>
          <w:b w:val="false"/>
          <w:bCs w:val="false"/>
          <w:i w:val="false"/>
          <w:iCs w:val="false"/>
        </w:rPr>
        <w:t xml:space="preserve">Cannot be assessed on this page specifically, because none are present (see Sections 11–12). Elsewhere on the site (homepage), case studies are presented as compact cards with technology tags and named results — that pattern would transfer well here.</w:t>
      </w:r>
    </w:p>
    <w:p>
      <w:pPr>
        <w:pStyle w:val="Heading3"/>
        <w:spacing w:after="100" w:before="200"/>
      </w:pPr>
      <w:r>
        <w:t xml:space="preserve">Mobile UX (B)</w:t>
      </w:r>
    </w:p>
    <w:p>
      <w:pPr>
        <w:spacing w:after="160"/>
      </w:pPr>
      <w:r>
        <w:rPr>
          <w:b w:val="false"/>
          <w:bCs w:val="false"/>
          <w:i w:val="false"/>
          <w:iCs w:val="false"/>
        </w:rPr>
        <w:t xml:space="preserve">Not independently re-tested at a mobile viewport in this pass — flagged as a DATA GAP, not confirmed either way. Given the large full-bleed images identified above, mobile load time and scroll length are worth checking specifically before implementation, since both images will scale to occupy proportionally more of a mobile screen.</w:t>
      </w:r>
    </w:p>
    <w:p>
      <w:pPr>
        <w:pStyle w:val="Heading3"/>
        <w:spacing w:after="100" w:before="200"/>
      </w:pPr>
      <w:r>
        <w:t xml:space="preserve">Section transitions &amp; repetition (B)</w:t>
      </w:r>
    </w:p>
    <w:p>
      <w:pPr>
        <w:spacing w:after="160"/>
      </w:pPr>
      <w:r>
        <w:rPr>
          <w:b w:val="false"/>
          <w:bCs w:val="false"/>
          <w:i w:val="false"/>
          <w:iCs w:val="false"/>
        </w:rPr>
        <w:t xml:space="preserve">Transitions between light and dark-themed sections (light capability grid → dark AI-lifecycle grid → light CTA banner → dark industry grid → light security section) are used consistently and do create visual rhythm, which works well. The repetition concern is content, not visual: see Section 7 (Content Structure) for the near-duplicate structural template shared with the other three service pages.</w:t>
      </w:r>
    </w:p>
    <w:p>
      <w:pPr>
        <w:pStyle w:val="Heading3"/>
        <w:spacing w:after="100" w:before="200"/>
      </w:pPr>
      <w:r>
        <w:t xml:space="preserve">Does the design support the sales story, or just present information? (B)</w:t>
      </w:r>
    </w:p>
    <w:p>
      <w:pPr>
        <w:spacing w:after="160"/>
      </w:pPr>
      <w:r>
        <w:rPr>
          <w:b w:val="false"/>
          <w:bCs w:val="false"/>
          <w:i w:val="false"/>
          <w:iCs w:val="false"/>
        </w:rPr>
        <w:t xml:space="preserve">Right now, closer to the latter — the design is a well-executed information template, but two of its most visually dominant elements (the large decorative AI images) work against, rather than for, the sales story this audit recommends (product engineering partner, not generic AI vendor). The design does not need a rebuild; it needs its highest-impact visual real estate reassigned to content that supports the recommended positioning.</w:t>
      </w:r>
    </w:p>
    <w:p>
      <w:pPr>
        <w:pStyle w:val="Heading1"/>
        <w:spacing w:after="200" w:before="400"/>
      </w:pPr>
      <w:r>
        <w:t xml:space="preserve">14. Conversion / CTA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550"/>
        <w:gridCol w:w="1900"/>
        <w:gridCol w:w="3400"/>
      </w:tblGrid>
      <w:tr>
        <w:trPr>
          <w:tblHeader/>
        </w:trPr>
        <w:tc>
          <w:tcPr>
            <w:tcW w:type="dxa" w:w="2500"/>
            <w:shd w:fill="1F3864" w:val="clear"/>
            <w:tcMar>
              <w:top w:type="dxa" w:w="60"/>
              <w:left w:type="dxa" w:w="100"/>
              <w:bottom w:type="dxa" w:w="60"/>
              <w:right w:type="dxa" w:w="100"/>
            </w:tcMar>
          </w:tcPr>
          <w:p>
            <w:r>
              <w:rPr>
                <w:b/>
                <w:bCs/>
                <w:color w:val="FFFFFF"/>
                <w:sz w:val="18"/>
                <w:szCs w:val="18"/>
              </w:rPr>
              <w:t xml:space="preserve">CTA</w:t>
            </w:r>
          </w:p>
        </w:tc>
        <w:tc>
          <w:tcPr>
            <w:tcW w:type="dxa" w:w="1550"/>
            <w:shd w:fill="1F3864" w:val="clear"/>
            <w:tcMar>
              <w:top w:type="dxa" w:w="60"/>
              <w:left w:type="dxa" w:w="100"/>
              <w:bottom w:type="dxa" w:w="60"/>
              <w:right w:type="dxa" w:w="100"/>
            </w:tcMar>
          </w:tcPr>
          <w:p>
            <w:r>
              <w:rPr>
                <w:b/>
                <w:bCs/>
                <w:color w:val="FFFFFF"/>
                <w:sz w:val="18"/>
                <w:szCs w:val="18"/>
              </w:rPr>
              <w:t xml:space="preserve">Location</w:t>
            </w:r>
          </w:p>
        </w:tc>
        <w:tc>
          <w:tcPr>
            <w:tcW w:type="dxa" w:w="1900"/>
            <w:shd w:fill="1F3864" w:val="clear"/>
            <w:tcMar>
              <w:top w:type="dxa" w:w="60"/>
              <w:left w:type="dxa" w:w="100"/>
              <w:bottom w:type="dxa" w:w="60"/>
              <w:right w:type="dxa" w:w="100"/>
            </w:tcMar>
          </w:tcPr>
          <w:p>
            <w:r>
              <w:rPr>
                <w:b/>
                <w:bCs/>
                <w:color w:val="FFFFFF"/>
                <w:sz w:val="18"/>
                <w:szCs w:val="18"/>
              </w:rPr>
              <w:t xml:space="preserve">Action requested</w:t>
            </w:r>
          </w:p>
        </w:tc>
        <w:tc>
          <w:tcPr>
            <w:tcW w:type="dxa" w:w="3400"/>
            <w:shd w:fill="1F3864" w:val="clear"/>
            <w:tcMar>
              <w:top w:type="dxa" w:w="60"/>
              <w:left w:type="dxa" w:w="100"/>
              <w:bottom w:type="dxa" w:w="60"/>
              <w:right w:type="dxa" w:w="100"/>
            </w:tcMar>
          </w:tcPr>
          <w:p>
            <w:r>
              <w:rPr>
                <w:b/>
                <w:bCs/>
                <w:color w:val="FFFFFF"/>
                <w:sz w:val="18"/>
                <w:szCs w:val="18"/>
              </w:rPr>
              <w:t xml:space="preserve">Assessment (B)</w:t>
            </w:r>
          </w:p>
        </w:tc>
      </w:tr>
      <w:tr>
        <w:tc>
          <w:tcPr>
            <w:tcW w:type="dxa" w:w="2500"/>
            <w:tcMar>
              <w:top w:type="dxa" w:w="60"/>
              <w:left w:type="dxa" w:w="100"/>
              <w:bottom w:type="dxa" w:w="60"/>
              <w:right w:type="dxa" w:w="100"/>
            </w:tcMar>
          </w:tcPr>
          <w:p>
            <w:r>
              <w:rPr>
                <w:b w:val="false"/>
                <w:bCs w:val="false"/>
                <w:sz w:val="18"/>
                <w:szCs w:val="18"/>
              </w:rPr>
              <w:t xml:space="preserve">"Explore our AI Capabilities"</w:t>
            </w:r>
          </w:p>
        </w:tc>
        <w:tc>
          <w:tcPr>
            <w:tcW w:type="dxa" w:w="1550"/>
            <w:tcMar>
              <w:top w:type="dxa" w:w="60"/>
              <w:left w:type="dxa" w:w="100"/>
              <w:bottom w:type="dxa" w:w="60"/>
              <w:right w:type="dxa" w:w="100"/>
            </w:tcMar>
          </w:tcPr>
          <w:p>
            <w:r>
              <w:rPr>
                <w:b w:val="false"/>
                <w:bCs w:val="false"/>
                <w:sz w:val="18"/>
                <w:szCs w:val="18"/>
              </w:rPr>
              <w:t xml:space="preserve">Hero (primary)</w:t>
            </w:r>
          </w:p>
        </w:tc>
        <w:tc>
          <w:tcPr>
            <w:tcW w:type="dxa" w:w="1900"/>
            <w:tcMar>
              <w:top w:type="dxa" w:w="60"/>
              <w:left w:type="dxa" w:w="100"/>
              <w:bottom w:type="dxa" w:w="60"/>
              <w:right w:type="dxa" w:w="100"/>
            </w:tcMar>
          </w:tcPr>
          <w:p>
            <w:r>
              <w:rPr>
                <w:b w:val="false"/>
                <w:bCs w:val="false"/>
                <w:sz w:val="18"/>
                <w:szCs w:val="18"/>
              </w:rPr>
              <w:t xml:space="preserve">Scroll/navigate to capability content</w:t>
            </w:r>
          </w:p>
        </w:tc>
        <w:tc>
          <w:tcPr>
            <w:tcW w:type="dxa" w:w="3400"/>
            <w:tcMar>
              <w:top w:type="dxa" w:w="60"/>
              <w:left w:type="dxa" w:w="100"/>
              <w:bottom w:type="dxa" w:w="60"/>
              <w:right w:type="dxa" w:w="100"/>
            </w:tcMar>
          </w:tcPr>
          <w:p>
            <w:r>
              <w:rPr>
                <w:b w:val="false"/>
                <w:bCs w:val="false"/>
                <w:sz w:val="18"/>
                <w:szCs w:val="18"/>
              </w:rPr>
              <w:t xml:space="preserve">Appropriately low-commitment for a first-touch CTA, but doesn't match wording used later on the same page.</w:t>
            </w:r>
          </w:p>
        </w:tc>
      </w:tr>
      <w:tr>
        <w:tc>
          <w:tcPr>
            <w:tcW w:type="dxa" w:w="2500"/>
            <w:tcMar>
              <w:top w:type="dxa" w:w="60"/>
              <w:left w:type="dxa" w:w="100"/>
              <w:bottom w:type="dxa" w:w="60"/>
              <w:right w:type="dxa" w:w="100"/>
            </w:tcMar>
          </w:tcPr>
          <w:p>
            <w:r>
              <w:rPr>
                <w:b w:val="false"/>
                <w:bCs w:val="false"/>
                <w:sz w:val="18"/>
                <w:szCs w:val="18"/>
              </w:rPr>
              <w:t xml:space="preserve">"Build Your AI-Enabled Platform Today"</w:t>
            </w:r>
          </w:p>
        </w:tc>
        <w:tc>
          <w:tcPr>
            <w:tcW w:type="dxa" w:w="1550"/>
            <w:tcMar>
              <w:top w:type="dxa" w:w="60"/>
              <w:left w:type="dxa" w:w="100"/>
              <w:bottom w:type="dxa" w:w="60"/>
              <w:right w:type="dxa" w:w="100"/>
            </w:tcMar>
          </w:tcPr>
          <w:p>
            <w:r>
              <w:rPr>
                <w:b w:val="false"/>
                <w:bCs w:val="false"/>
                <w:sz w:val="18"/>
                <w:szCs w:val="18"/>
              </w:rPr>
              <w:t xml:space="preserve">Mid-page banner</w:t>
            </w:r>
          </w:p>
        </w:tc>
        <w:tc>
          <w:tcPr>
            <w:tcW w:type="dxa" w:w="1900"/>
            <w:tcMar>
              <w:top w:type="dxa" w:w="60"/>
              <w:left w:type="dxa" w:w="100"/>
              <w:bottom w:type="dxa" w:w="60"/>
              <w:right w:type="dxa" w:w="100"/>
            </w:tcMar>
          </w:tcPr>
          <w:p>
            <w:r>
              <w:rPr>
                <w:b w:val="false"/>
                <w:bCs w:val="false"/>
                <w:sz w:val="18"/>
                <w:szCs w:val="18"/>
              </w:rPr>
              <w:t xml:space="preserve">Presumably scrolls to or opens the contact form</w:t>
            </w:r>
          </w:p>
        </w:tc>
        <w:tc>
          <w:tcPr>
            <w:tcW w:type="dxa" w:w="3400"/>
            <w:tcMar>
              <w:top w:type="dxa" w:w="60"/>
              <w:left w:type="dxa" w:w="100"/>
              <w:bottom w:type="dxa" w:w="60"/>
              <w:right w:type="dxa" w:w="100"/>
            </w:tcMar>
          </w:tcPr>
          <w:p>
            <w:r>
              <w:rPr>
                <w:b w:val="false"/>
                <w:bCs w:val="false"/>
                <w:sz w:val="18"/>
                <w:szCs w:val="18"/>
              </w:rPr>
              <w:t xml:space="preserve">Higher-commitment language ("Build... Today") than the hero CTA — a visitor who wasn't ready to "build today" after the hero may be more receptive by this point, so the escalation is reasonable in principle, but the wording doesn't visibly connect back to the hero's CTA.</w:t>
            </w:r>
          </w:p>
        </w:tc>
      </w:tr>
      <w:tr>
        <w:tc>
          <w:tcPr>
            <w:tcW w:type="dxa" w:w="2500"/>
            <w:tcMar>
              <w:top w:type="dxa" w:w="60"/>
              <w:left w:type="dxa" w:w="100"/>
              <w:bottom w:type="dxa" w:w="60"/>
              <w:right w:type="dxa" w:w="100"/>
            </w:tcMar>
          </w:tcPr>
          <w:p>
            <w:r>
              <w:rPr>
                <w:b w:val="false"/>
                <w:bCs w:val="false"/>
                <w:sz w:val="18"/>
                <w:szCs w:val="18"/>
              </w:rPr>
              <w:t xml:space="preserve">"See Our All Services"</w:t>
            </w:r>
          </w:p>
        </w:tc>
        <w:tc>
          <w:tcPr>
            <w:tcW w:type="dxa" w:w="1550"/>
            <w:tcMar>
              <w:top w:type="dxa" w:w="60"/>
              <w:left w:type="dxa" w:w="100"/>
              <w:bottom w:type="dxa" w:w="60"/>
              <w:right w:type="dxa" w:w="100"/>
            </w:tcMar>
          </w:tcPr>
          <w:p>
            <w:r>
              <w:rPr>
                <w:b w:val="false"/>
                <w:bCs w:val="false"/>
                <w:sz w:val="18"/>
                <w:szCs w:val="18"/>
              </w:rPr>
              <w:t xml:space="preserve">End of AI-lifecycle section</w:t>
            </w:r>
          </w:p>
        </w:tc>
        <w:tc>
          <w:tcPr>
            <w:tcW w:type="dxa" w:w="1900"/>
            <w:tcMar>
              <w:top w:type="dxa" w:w="60"/>
              <w:left w:type="dxa" w:w="100"/>
              <w:bottom w:type="dxa" w:w="60"/>
              <w:right w:type="dxa" w:w="100"/>
            </w:tcMar>
          </w:tcPr>
          <w:p>
            <w:r>
              <w:rPr>
                <w:b w:val="false"/>
                <w:bCs w:val="false"/>
                <w:sz w:val="18"/>
                <w:szCs w:val="18"/>
              </w:rPr>
              <w:t xml:space="preserve">Navigate to a services overview</w:t>
            </w:r>
          </w:p>
        </w:tc>
        <w:tc>
          <w:tcPr>
            <w:tcW w:type="dxa" w:w="3400"/>
            <w:tcMar>
              <w:top w:type="dxa" w:w="60"/>
              <w:left w:type="dxa" w:w="100"/>
              <w:bottom w:type="dxa" w:w="60"/>
              <w:right w:type="dxa" w:w="100"/>
            </w:tcMar>
          </w:tcPr>
          <w:p>
            <w:r>
              <w:rPr>
                <w:b w:val="false"/>
                <w:bCs w:val="false"/>
                <w:sz w:val="18"/>
                <w:szCs w:val="18"/>
              </w:rPr>
              <w:t xml:space="preserve">Off-ramp from this specific page to a general services view — reasonable as a secondary link, but the phrasing ("Our All Services") reads as a grammar/copy error and should be corrected regardless of any positioning changes.</w:t>
            </w:r>
          </w:p>
        </w:tc>
      </w:tr>
      <w:tr>
        <w:tc>
          <w:tcPr>
            <w:tcW w:type="dxa" w:w="2500"/>
            <w:tcMar>
              <w:top w:type="dxa" w:w="60"/>
              <w:left w:type="dxa" w:w="100"/>
              <w:bottom w:type="dxa" w:w="60"/>
              <w:right w:type="dxa" w:w="100"/>
            </w:tcMar>
          </w:tcPr>
          <w:p>
            <w:r>
              <w:rPr>
                <w:b w:val="false"/>
                <w:bCs w:val="false"/>
                <w:sz w:val="18"/>
                <w:szCs w:val="18"/>
              </w:rPr>
              <w:t xml:space="preserve">"Talk to our team"</w:t>
            </w:r>
          </w:p>
        </w:tc>
        <w:tc>
          <w:tcPr>
            <w:tcW w:type="dxa" w:w="1550"/>
            <w:tcMar>
              <w:top w:type="dxa" w:w="60"/>
              <w:left w:type="dxa" w:w="100"/>
              <w:bottom w:type="dxa" w:w="60"/>
              <w:right w:type="dxa" w:w="100"/>
            </w:tcMar>
          </w:tcPr>
          <w:p>
            <w:r>
              <w:rPr>
                <w:b w:val="false"/>
                <w:bCs w:val="false"/>
                <w:sz w:val="18"/>
                <w:szCs w:val="18"/>
              </w:rPr>
              <w:t xml:space="preserve">Contact form submit button</w:t>
            </w:r>
          </w:p>
        </w:tc>
        <w:tc>
          <w:tcPr>
            <w:tcW w:type="dxa" w:w="1900"/>
            <w:tcMar>
              <w:top w:type="dxa" w:w="60"/>
              <w:left w:type="dxa" w:w="100"/>
              <w:bottom w:type="dxa" w:w="60"/>
              <w:right w:type="dxa" w:w="100"/>
            </w:tcMar>
          </w:tcPr>
          <w:p>
            <w:r>
              <w:rPr>
                <w:b w:val="false"/>
                <w:bCs w:val="false"/>
                <w:sz w:val="18"/>
                <w:szCs w:val="18"/>
              </w:rPr>
              <w:t xml:space="preserve">Submit lead-capture form</w:t>
            </w:r>
          </w:p>
        </w:tc>
        <w:tc>
          <w:tcPr>
            <w:tcW w:type="dxa" w:w="3400"/>
            <w:tcMar>
              <w:top w:type="dxa" w:w="60"/>
              <w:left w:type="dxa" w:w="100"/>
              <w:bottom w:type="dxa" w:w="60"/>
              <w:right w:type="dxa" w:w="100"/>
            </w:tcMar>
          </w:tcPr>
          <w:p>
            <w:r>
              <w:rPr>
                <w:b w:val="false"/>
                <w:bCs w:val="false"/>
                <w:sz w:val="18"/>
                <w:szCs w:val="18"/>
              </w:rPr>
              <w:t xml:space="preserve">Well-calibrated, low-friction, appropriate for a considered B2B sale.</w:t>
            </w:r>
          </w:p>
        </w:tc>
      </w:tr>
      <w:tr>
        <w:tc>
          <w:tcPr>
            <w:tcW w:type="dxa" w:w="2500"/>
            <w:tcMar>
              <w:top w:type="dxa" w:w="60"/>
              <w:left w:type="dxa" w:w="100"/>
              <w:bottom w:type="dxa" w:w="60"/>
              <w:right w:type="dxa" w:w="100"/>
            </w:tcMar>
          </w:tcPr>
          <w:p>
            <w:r>
              <w:rPr>
                <w:b w:val="false"/>
                <w:bCs w:val="false"/>
                <w:sz w:val="18"/>
                <w:szCs w:val="18"/>
              </w:rPr>
              <w:t xml:space="preserve">Floating WhatsApp button</w:t>
            </w:r>
          </w:p>
        </w:tc>
        <w:tc>
          <w:tcPr>
            <w:tcW w:type="dxa" w:w="1550"/>
            <w:tcMar>
              <w:top w:type="dxa" w:w="60"/>
              <w:left w:type="dxa" w:w="100"/>
              <w:bottom w:type="dxa" w:w="60"/>
              <w:right w:type="dxa" w:w="100"/>
            </w:tcMar>
          </w:tcPr>
          <w:p>
            <w:r>
              <w:rPr>
                <w:b w:val="false"/>
                <w:bCs w:val="false"/>
                <w:sz w:val="18"/>
                <w:szCs w:val="18"/>
              </w:rPr>
              <w:t xml:space="preserve">Persistent, all sections</w:t>
            </w:r>
          </w:p>
        </w:tc>
        <w:tc>
          <w:tcPr>
            <w:tcW w:type="dxa" w:w="1900"/>
            <w:tcMar>
              <w:top w:type="dxa" w:w="60"/>
              <w:left w:type="dxa" w:w="100"/>
              <w:bottom w:type="dxa" w:w="60"/>
              <w:right w:type="dxa" w:w="100"/>
            </w:tcMar>
          </w:tcPr>
          <w:p>
            <w:r>
              <w:rPr>
                <w:b w:val="false"/>
                <w:bCs w:val="false"/>
                <w:sz w:val="18"/>
                <w:szCs w:val="18"/>
              </w:rPr>
              <w:t xml:space="preserve">Open WhatsApp chat</w:t>
            </w:r>
          </w:p>
        </w:tc>
        <w:tc>
          <w:tcPr>
            <w:tcW w:type="dxa" w:w="3400"/>
            <w:tcMar>
              <w:top w:type="dxa" w:w="60"/>
              <w:left w:type="dxa" w:w="100"/>
              <w:bottom w:type="dxa" w:w="60"/>
              <w:right w:type="dxa" w:w="100"/>
            </w:tcMar>
          </w:tcPr>
          <w:p>
            <w:r>
              <w:rPr>
                <w:b w:val="false"/>
                <w:bCs w:val="false"/>
                <w:sz w:val="18"/>
                <w:szCs w:val="18"/>
              </w:rPr>
              <w:t xml:space="preserve">Useful for a visitor who prefers messaging, but is a fourth, always-present competing CTA.</w:t>
            </w:r>
          </w:p>
        </w:tc>
      </w:tr>
      <w:tr>
        <w:tc>
          <w:tcPr>
            <w:tcW w:type="dxa" w:w="2500"/>
            <w:tcMar>
              <w:top w:type="dxa" w:w="60"/>
              <w:left w:type="dxa" w:w="100"/>
              <w:bottom w:type="dxa" w:w="60"/>
              <w:right w:type="dxa" w:w="100"/>
            </w:tcMar>
          </w:tcPr>
          <w:p>
            <w:r>
              <w:rPr>
                <w:b w:val="false"/>
                <w:bCs w:val="false"/>
                <w:sz w:val="18"/>
                <w:szCs w:val="18"/>
              </w:rPr>
              <w:t xml:space="preserve">Floating "Let's Connect" button</w:t>
            </w:r>
          </w:p>
        </w:tc>
        <w:tc>
          <w:tcPr>
            <w:tcW w:type="dxa" w:w="1550"/>
            <w:tcMar>
              <w:top w:type="dxa" w:w="60"/>
              <w:left w:type="dxa" w:w="100"/>
              <w:bottom w:type="dxa" w:w="60"/>
              <w:right w:type="dxa" w:w="100"/>
            </w:tcMar>
          </w:tcPr>
          <w:p>
            <w:r>
              <w:rPr>
                <w:b w:val="false"/>
                <w:bCs w:val="false"/>
                <w:sz w:val="18"/>
                <w:szCs w:val="18"/>
              </w:rPr>
              <w:t xml:space="preserve">Persistent, all sections</w:t>
            </w:r>
          </w:p>
        </w:tc>
        <w:tc>
          <w:tcPr>
            <w:tcW w:type="dxa" w:w="1900"/>
            <w:tcMar>
              <w:top w:type="dxa" w:w="60"/>
              <w:left w:type="dxa" w:w="100"/>
              <w:bottom w:type="dxa" w:w="60"/>
              <w:right w:type="dxa" w:w="100"/>
            </w:tcMar>
          </w:tcPr>
          <w:p>
            <w:r>
              <w:rPr>
                <w:b w:val="false"/>
                <w:bCs w:val="false"/>
                <w:sz w:val="18"/>
                <w:szCs w:val="18"/>
              </w:rPr>
              <w:t xml:space="preserve">Presumably opens contact form/section</w:t>
            </w:r>
          </w:p>
        </w:tc>
        <w:tc>
          <w:tcPr>
            <w:tcW w:type="dxa" w:w="3400"/>
            <w:tcMar>
              <w:top w:type="dxa" w:w="60"/>
              <w:left w:type="dxa" w:w="100"/>
              <w:bottom w:type="dxa" w:w="60"/>
              <w:right w:type="dxa" w:w="100"/>
            </w:tcMar>
          </w:tcPr>
          <w:p>
            <w:r>
              <w:rPr>
                <w:b w:val="false"/>
                <w:bCs w:val="false"/>
                <w:sz w:val="18"/>
                <w:szCs w:val="18"/>
              </w:rPr>
              <w:t xml:space="preserve">A fifth, always-present competing CTA, functionally redundant with the in-page "Talk to our team" form.</w:t>
            </w:r>
          </w:p>
        </w:tc>
      </w:tr>
    </w:tbl>
    <w:p>
      <w:pPr>
        <w:pStyle w:val="Heading3"/>
        <w:spacing w:after="100" w:before="200"/>
      </w:pPr>
      <w:r>
        <w:t xml:space="preserve">Assessment</w:t>
      </w:r>
    </w:p>
    <w:p>
      <w:pPr>
        <w:spacing w:after="160"/>
      </w:pPr>
      <w:r>
        <w:rPr>
          <w:b w:val="false"/>
          <w:bCs w:val="false"/>
          <w:i w:val="false"/>
          <w:iCs w:val="false"/>
        </w:rPr>
        <w:t xml:space="preserve">Five distinct CTA surfaces, four different verbs/phrasings ("Explore," "Build... Today," "See," "Talk to our team"), and two persistent floating buttons is more CTA variation than this page needs. None of the individual CTAs is inappropriate for a B2B engineering sale — the form itself, in particular, is a genuinely good conversion mechanism — but the lack of a single consistent phrase for "the thing we want you to do" dilutes each individual CTA's reinforcement value.</w:t>
      </w:r>
    </w:p>
    <w:p>
      <w:pPr>
        <w:pStyle w:val="Heading3"/>
        <w:spacing w:after="100" w:before="200"/>
      </w:pPr>
      <w:r>
        <w:t xml:space="preserve">Recommendation (C)</w:t>
      </w:r>
    </w:p>
    <w:p>
      <w:pPr>
        <w:spacing w:after="90"/>
      </w:pPr>
      <w:r>
        <w:rPr>
          <w:b/>
          <w:bCs/>
        </w:rPr>
        <w:t xml:space="preserve">PRIMARY CTA: </w:t>
      </w:r>
      <w:r>
        <w:t xml:space="preserve">One consistent phrase used at the hero, the mid-page banner, and the footer (e.g., a variant of "Talk to our team" / "Book a Strategy Session," mirroring the homepage's better-calibrated primary CTA) rather than three different phrasings across one page.</w:t>
      </w:r>
    </w:p>
    <w:p>
      <w:pPr>
        <w:spacing w:after="90"/>
      </w:pPr>
      <w:r>
        <w:rPr>
          <w:b/>
          <w:bCs/>
        </w:rPr>
        <w:t xml:space="preserve">SECONDARY CTA: </w:t>
      </w:r>
      <w:r>
        <w:t xml:space="preserve">"See our other services" (grammar-corrected) as a single, clearly secondary off-ramp — not styled to compete visually with the primary CTA.</w:t>
      </w:r>
    </w:p>
    <w:p>
      <w:pPr>
        <w:spacing w:after="90"/>
      </w:pPr>
      <w:r>
        <w:rPr>
          <w:b/>
          <w:bCs/>
        </w:rPr>
        <w:t xml:space="preserve">CTA PLACEMENT: </w:t>
      </w:r>
      <w:r>
        <w:t xml:space="preserve">Keep the current three in-page moments (hero, mid-page, footer form) — the cadence is right; only the wording needs to converge. Floating WhatsApp/"Let's Connect" buttons are a sitewide pattern, not specific to this page, and are out of scope for a page-level content fix.</w:t>
      </w:r>
    </w:p>
    <w:p>
      <w:r>
        <w:br w:type="page"/>
      </w:r>
    </w:p>
    <w:p>
      <w:pPr>
        <w:pStyle w:val="Heading1"/>
        <w:spacing w:after="200" w:before="400"/>
      </w:pPr>
      <w:r>
        <w:t xml:space="preserve">15. SEO Audit</w:t>
      </w:r>
    </w:p>
    <w:p>
      <w:pPr>
        <w:spacing w:after="90"/>
      </w:pPr>
      <w:r>
        <w:rPr>
          <w:b/>
          <w:bCs/>
        </w:rPr>
        <w:t xml:space="preserve">PRIMARY SEARCH INTENT: </w:t>
      </w:r>
      <w:r>
        <w:t xml:space="preserve">Commercial investigation — a technical decision-maker researching a vendor to build or rebuild a software product/platform, evaluating AI-assisted delivery as a differentiator among vendors. (B)</w:t>
      </w:r>
    </w:p>
    <w:p>
      <w:pPr>
        <w:spacing w:after="90"/>
      </w:pPr>
      <w:r>
        <w:rPr>
          <w:b/>
          <w:bCs/>
        </w:rPr>
        <w:t xml:space="preserve">PRIMARY KEYWORD/TOPIC: </w:t>
      </w:r>
      <w:r>
        <w:t xml:space="preserve">"AI-enabled product engineering company" — this is the page's own approved primary keyword per this project's SEO keyword map, on file in this project's seo/ directory. (A)</w:t>
      </w:r>
    </w:p>
    <w:p>
      <w:pPr>
        <w:spacing w:after="90"/>
      </w:pPr>
      <w:r>
        <w:rPr>
          <w:b/>
          <w:bCs/>
        </w:rPr>
        <w:t xml:space="preserve">SECONDARY KEYWORDS/TOPICS: </w:t>
      </w:r>
      <w:r>
        <w:t xml:space="preserve">AI-enabled product engineering services; AI product engineering; product engineering services; SaaS platform development; multi-tenant architecture; AI-ready architecture; product roadmap acceleration; MVP development; time-to-market. (A, from services.md's keyword list)</w:t>
      </w:r>
    </w:p>
    <w:p>
      <w:pPr>
        <w:spacing w:after="90"/>
      </w:pPr>
      <w:r>
        <w:rPr>
          <w:b/>
          <w:bCs/>
        </w:rPr>
        <w:t xml:space="preserve">SEARCHER TYPE: </w:t>
      </w:r>
      <w:r>
        <w:t xml:space="preserve">Technical buyer (CTO/VP Eng/technical founder) in active vendor evaluation, not early-stage informational research. (B)</w:t>
      </w:r>
    </w:p>
    <w:p>
      <w:pPr>
        <w:spacing w:after="90"/>
      </w:pPr>
      <w:r>
        <w:rPr>
          <w:b/>
          <w:bCs/>
        </w:rPr>
        <w:t xml:space="preserve">COMMERCIAL INTENT: </w:t>
      </w:r>
      <w:r>
        <w:t xml:space="preserve">High — this is a bottom-of-funnel service page, not a blog/informational asset.</w:t>
      </w:r>
    </w:p>
    <w:p>
      <w:pPr>
        <w:pStyle w:val="Heading3"/>
        <w:spacing w:after="100" w:before="200"/>
      </w:pPr>
      <w:r>
        <w:t xml:space="preserve">On-page elements (A, re-verified live where noted)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F3864" w:val="clear"/>
            <w:tcMar>
              <w:top w:type="dxa" w:w="60"/>
              <w:left w:type="dxa" w:w="100"/>
              <w:bottom w:type="dxa" w:w="60"/>
              <w:right w:type="dxa" w:w="100"/>
            </w:tcMar>
          </w:tcPr>
          <w:p>
            <w:r>
              <w:rPr>
                <w:b/>
                <w:bCs/>
                <w:color w:val="FFFFFF"/>
                <w:sz w:val="18"/>
                <w:szCs w:val="18"/>
              </w:rPr>
              <w:t xml:space="preserve">Element</w:t>
            </w:r>
          </w:p>
        </w:tc>
        <w:tc>
          <w:tcPr>
            <w:tcW w:type="dxa" w:w="7450"/>
            <w:shd w:fill="1F3864" w:val="clear"/>
            <w:tcMar>
              <w:top w:type="dxa" w:w="60"/>
              <w:left w:type="dxa" w:w="100"/>
              <w:bottom w:type="dxa" w:w="60"/>
              <w:right w:type="dxa" w:w="100"/>
            </w:tcMar>
          </w:tcPr>
          <w:p>
            <w:r>
              <w:rPr>
                <w:b/>
                <w:bCs/>
                <w:color w:val="FFFFFF"/>
                <w:sz w:val="18"/>
                <w:szCs w:val="18"/>
              </w:rPr>
              <w:t xml:space="preserve">Finding</w:t>
            </w:r>
          </w:p>
        </w:tc>
      </w:tr>
      <w:tr>
        <w:tc>
          <w:tcPr>
            <w:tcW w:type="dxa" w:w="1900"/>
            <w:tcMar>
              <w:top w:type="dxa" w:w="60"/>
              <w:left w:type="dxa" w:w="100"/>
              <w:bottom w:type="dxa" w:w="60"/>
              <w:right w:type="dxa" w:w="100"/>
            </w:tcMar>
          </w:tcPr>
          <w:p>
            <w:r>
              <w:rPr>
                <w:b w:val="false"/>
                <w:bCs w:val="false"/>
                <w:sz w:val="18"/>
                <w:szCs w:val="18"/>
              </w:rPr>
              <w:t xml:space="preserve">URL</w:t>
            </w:r>
          </w:p>
        </w:tc>
        <w:tc>
          <w:tcPr>
            <w:tcW w:type="dxa" w:w="7450"/>
            <w:tcMar>
              <w:top w:type="dxa" w:w="60"/>
              <w:left w:type="dxa" w:w="100"/>
              <w:bottom w:type="dxa" w:w="60"/>
              <w:right w:type="dxa" w:w="100"/>
            </w:tcMar>
          </w:tcPr>
          <w:p>
            <w:r>
              <w:rPr>
                <w:b w:val="false"/>
                <w:bCs w:val="false"/>
                <w:sz w:val="18"/>
                <w:szCs w:val="18"/>
              </w:rPr>
              <w:t xml:space="preserve">/services/ai-enabled-product-engineering/ — clean, descriptive, matches the approved primary keyword's core phrase.</w:t>
            </w:r>
          </w:p>
        </w:tc>
      </w:tr>
      <w:tr>
        <w:tc>
          <w:tcPr>
            <w:tcW w:type="dxa" w:w="1900"/>
            <w:tcMar>
              <w:top w:type="dxa" w:w="60"/>
              <w:left w:type="dxa" w:w="100"/>
              <w:bottom w:type="dxa" w:w="60"/>
              <w:right w:type="dxa" w:w="100"/>
            </w:tcMar>
          </w:tcPr>
          <w:p>
            <w:r>
              <w:rPr>
                <w:b w:val="false"/>
                <w:bCs w:val="false"/>
                <w:sz w:val="18"/>
                <w:szCs w:val="18"/>
              </w:rPr>
              <w:t xml:space="preserve">Title tag</w:t>
            </w:r>
          </w:p>
        </w:tc>
        <w:tc>
          <w:tcPr>
            <w:tcW w:type="dxa" w:w="7450"/>
            <w:tcMar>
              <w:top w:type="dxa" w:w="60"/>
              <w:left w:type="dxa" w:w="100"/>
              <w:bottom w:type="dxa" w:w="60"/>
              <w:right w:type="dxa" w:w="100"/>
            </w:tcMar>
          </w:tcPr>
          <w:p>
            <w:r>
              <w:rPr>
                <w:b w:val="false"/>
                <w:bCs w:val="false"/>
                <w:sz w:val="18"/>
                <w:szCs w:val="18"/>
              </w:rPr>
              <w:t xml:space="preserve">"AI-Enabled Product Engineering Services | Zediant" (from the live browser tab title) — good match to the approved primary keyword.</w:t>
            </w:r>
          </w:p>
        </w:tc>
      </w:tr>
      <w:tr>
        <w:tc>
          <w:tcPr>
            <w:tcW w:type="dxa" w:w="1900"/>
            <w:tcMar>
              <w:top w:type="dxa" w:w="60"/>
              <w:left w:type="dxa" w:w="100"/>
              <w:bottom w:type="dxa" w:w="60"/>
              <w:right w:type="dxa" w:w="100"/>
            </w:tcMar>
          </w:tcPr>
          <w:p>
            <w:r>
              <w:rPr>
                <w:b w:val="false"/>
                <w:bCs w:val="false"/>
                <w:sz w:val="18"/>
                <w:szCs w:val="18"/>
              </w:rPr>
              <w:t xml:space="preserve">H1</w:t>
            </w:r>
          </w:p>
        </w:tc>
        <w:tc>
          <w:tcPr>
            <w:tcW w:type="dxa" w:w="7450"/>
            <w:tcMar>
              <w:top w:type="dxa" w:w="60"/>
              <w:left w:type="dxa" w:w="100"/>
              <w:bottom w:type="dxa" w:w="60"/>
              <w:right w:type="dxa" w:w="100"/>
            </w:tcMar>
          </w:tcPr>
          <w:p>
            <w:r>
              <w:rPr>
                <w:b w:val="false"/>
                <w:bCs w:val="false"/>
                <w:sz w:val="18"/>
                <w:szCs w:val="18"/>
              </w:rPr>
              <w:t xml:space="preserve">"Build Intelligent Platforms with AI-Ready Architectures" — does not contain "product engineering," the core phrase of the page's own approved primary keyword. This is a real on-page relevance gap, not just a positioning nuance.</w:t>
            </w:r>
          </w:p>
        </w:tc>
      </w:tr>
      <w:tr>
        <w:tc>
          <w:tcPr>
            <w:tcW w:type="dxa" w:w="1900"/>
            <w:tcMar>
              <w:top w:type="dxa" w:w="60"/>
              <w:left w:type="dxa" w:w="100"/>
              <w:bottom w:type="dxa" w:w="60"/>
              <w:right w:type="dxa" w:w="100"/>
            </w:tcMar>
          </w:tcPr>
          <w:p>
            <w:r>
              <w:rPr>
                <w:b w:val="false"/>
                <w:bCs w:val="false"/>
                <w:sz w:val="18"/>
                <w:szCs w:val="18"/>
              </w:rPr>
              <w:t xml:space="preserve">H2/H3 hierarchy</w:t>
            </w:r>
          </w:p>
        </w:tc>
        <w:tc>
          <w:tcPr>
            <w:tcW w:type="dxa" w:w="7450"/>
            <w:tcMar>
              <w:top w:type="dxa" w:w="60"/>
              <w:left w:type="dxa" w:w="100"/>
              <w:bottom w:type="dxa" w:w="60"/>
              <w:right w:type="dxa" w:w="100"/>
            </w:tcMar>
          </w:tcPr>
          <w:p>
            <w:r>
              <w:rPr>
                <w:b w:val="false"/>
                <w:bCs w:val="false"/>
                <w:sz w:val="18"/>
                <w:szCs w:val="18"/>
              </w:rPr>
              <w:t xml:space="preserve">Present and reasonably structured (see Section 6 for full heading map); no H2 on the page uses the literal phrase "product engineering" either — it appears only in the eyebrow/breadcrumb label and the URL, not in any heading.</w:t>
            </w:r>
          </w:p>
        </w:tc>
      </w:tr>
      <w:tr>
        <w:tc>
          <w:tcPr>
            <w:tcW w:type="dxa" w:w="1900"/>
            <w:tcMar>
              <w:top w:type="dxa" w:w="60"/>
              <w:left w:type="dxa" w:w="100"/>
              <w:bottom w:type="dxa" w:w="60"/>
              <w:right w:type="dxa" w:w="100"/>
            </w:tcMar>
          </w:tcPr>
          <w:p>
            <w:r>
              <w:rPr>
                <w:b w:val="false"/>
                <w:bCs w:val="false"/>
                <w:sz w:val="18"/>
                <w:szCs w:val="18"/>
              </w:rPr>
              <w:t xml:space="preserve">Content depth</w:t>
            </w:r>
          </w:p>
        </w:tc>
        <w:tc>
          <w:tcPr>
            <w:tcW w:type="dxa" w:w="7450"/>
            <w:tcMar>
              <w:top w:type="dxa" w:w="60"/>
              <w:left w:type="dxa" w:w="100"/>
              <w:bottom w:type="dxa" w:w="60"/>
              <w:right w:type="dxa" w:w="100"/>
            </w:tcMar>
          </w:tcPr>
          <w:p>
            <w:r>
              <w:rPr>
                <w:b w:val="false"/>
                <w:bCs w:val="false"/>
                <w:sz w:val="18"/>
                <w:szCs w:val="18"/>
              </w:rPr>
              <w:t xml:space="preserve">Good technical depth for the AI-assisted-delivery section specifically (Section 6, item 4); thinner on product-engineering-specific depth (multi-tenant patterns, MVP-to-scale narrative, architecture validation process) despite these being documented, approved talking points in services.md that simply aren't used on the live page.</w:t>
            </w:r>
          </w:p>
        </w:tc>
      </w:tr>
      <w:tr>
        <w:tc>
          <w:tcPr>
            <w:tcW w:type="dxa" w:w="1900"/>
            <w:tcMar>
              <w:top w:type="dxa" w:w="60"/>
              <w:left w:type="dxa" w:w="100"/>
              <w:bottom w:type="dxa" w:w="60"/>
              <w:right w:type="dxa" w:w="100"/>
            </w:tcMar>
          </w:tcPr>
          <w:p>
            <w:r>
              <w:rPr>
                <w:b w:val="false"/>
                <w:bCs w:val="false"/>
                <w:sz w:val="18"/>
                <w:szCs w:val="18"/>
              </w:rPr>
              <w:t xml:space="preserve">Topic coverage</w:t>
            </w:r>
          </w:p>
        </w:tc>
        <w:tc>
          <w:tcPr>
            <w:tcW w:type="dxa" w:w="7450"/>
            <w:tcMar>
              <w:top w:type="dxa" w:w="60"/>
              <w:left w:type="dxa" w:w="100"/>
              <w:bottom w:type="dxa" w:w="60"/>
              <w:right w:type="dxa" w:w="100"/>
            </w:tcMar>
          </w:tcPr>
          <w:p>
            <w:r>
              <w:rPr>
                <w:b w:val="false"/>
                <w:bCs w:val="false"/>
                <w:sz w:val="18"/>
                <w:szCs w:val="18"/>
              </w:rPr>
              <w:t xml:space="preserve">SaaS platform development, AI integration, data systems, and API architecture are all covered as capability cards; multi-tenant architecture, MVP development, and product roadmap acceleration — all present in the approved keyword list — are not used as visible on-page terms.</w:t>
            </w:r>
          </w:p>
        </w:tc>
      </w:tr>
      <w:tr>
        <w:tc>
          <w:tcPr>
            <w:tcW w:type="dxa" w:w="1900"/>
            <w:tcMar>
              <w:top w:type="dxa" w:w="60"/>
              <w:left w:type="dxa" w:w="100"/>
              <w:bottom w:type="dxa" w:w="60"/>
              <w:right w:type="dxa" w:w="100"/>
            </w:tcMar>
          </w:tcPr>
          <w:p>
            <w:r>
              <w:rPr>
                <w:b w:val="false"/>
                <w:bCs w:val="false"/>
                <w:sz w:val="18"/>
                <w:szCs w:val="18"/>
              </w:rPr>
              <w:t xml:space="preserve">Semantic relevance</w:t>
            </w:r>
          </w:p>
        </w:tc>
        <w:tc>
          <w:tcPr>
            <w:tcW w:type="dxa" w:w="7450"/>
            <w:tcMar>
              <w:top w:type="dxa" w:w="60"/>
              <w:left w:type="dxa" w:w="100"/>
              <w:bottom w:type="dxa" w:w="60"/>
              <w:right w:type="dxa" w:w="100"/>
            </w:tcMar>
          </w:tcPr>
          <w:p>
            <w:r>
              <w:rPr>
                <w:b w:val="false"/>
                <w:bCs w:val="false"/>
                <w:sz w:val="18"/>
                <w:szCs w:val="18"/>
              </w:rPr>
              <w:t xml:space="preserve">Diluted by the page's platform-first framing overlapping Platform Engineering's own semantic territory (see Section 8, Q12, and Section 16 below).</w:t>
            </w:r>
          </w:p>
        </w:tc>
      </w:tr>
    </w:tbl>
    <w:p>
      <w:pPr>
        <w:pStyle w:val="Heading3"/>
        <w:spacing w:after="100" w:before="200"/>
      </w:pPr>
      <w:r>
        <w:t xml:space="preserve">Internal links (A/B)</w:t>
      </w:r>
    </w:p>
    <w:p>
      <w:pPr>
        <w:pStyle w:val="ListParagraph"/>
        <w:numPr>
          <w:ilvl w:val="0"/>
          <w:numId w:val="1"/>
        </w:numPr>
        <w:spacing w:after="60"/>
      </w:pPr>
      <w:r>
        <w:t xml:space="preserve">No case study links from this page (A — matches the finding already on file that zero case studies link from any of the four service pages).</w:t>
      </w:r>
    </w:p>
    <w:p>
      <w:pPr>
        <w:pStyle w:val="ListParagraph"/>
        <w:numPr>
          <w:ilvl w:val="0"/>
          <w:numId w:val="1"/>
        </w:numPr>
        <w:spacing w:after="60"/>
      </w:pPr>
      <w:r>
        <w:t xml:space="preserve">No links to Platform Engineering, Dedicated Engineering, or Enterprise Custom Development from this page's body content — only via the shared global navigation, which every page on the site has regardless of relevance (A).</w:t>
      </w:r>
    </w:p>
    <w:p>
      <w:pPr>
        <w:pStyle w:val="ListParagraph"/>
        <w:numPr>
          <w:ilvl w:val="0"/>
          <w:numId w:val="1"/>
        </w:numPr>
        <w:spacing w:after="60"/>
      </w:pPr>
      <w:r>
        <w:t xml:space="preserve">No industry/vertical landing pages exist to link to (A — none are documented as live pages).</w:t>
      </w:r>
    </w:p>
    <w:p>
      <w:pPr>
        <w:pStyle w:val="ListParagraph"/>
        <w:numPr>
          <w:ilvl w:val="0"/>
          <w:numId w:val="1"/>
        </w:numPr>
        <w:spacing w:after="60"/>
      </w:pPr>
      <w:r>
        <w:t xml:space="preserve">The page does link, via its "See Our All Services" CTA, to a general services overview (A).</w:t>
      </w:r>
    </w:p>
    <w:p>
      <w:pPr>
        <w:pStyle w:val="Heading3"/>
        <w:spacing w:after="100" w:before="200"/>
      </w:pPr>
      <w:r>
        <w:t xml:space="preserve">FAQ opportunities (C)</w:t>
      </w:r>
    </w:p>
    <w:p>
      <w:pPr>
        <w:spacing w:after="160"/>
      </w:pPr>
      <w:r>
        <w:rPr>
          <w:b w:val="false"/>
          <w:bCs w:val="false"/>
          <w:i w:val="false"/>
          <w:iCs w:val="false"/>
        </w:rPr>
        <w:t xml:space="preserve">A short FAQ addressing the page's single biggest unanswered buyer question — "Will you build AI features into my product, or use AI to build my product faster?" — would double as both a genuine buyer-trust improvement (Section 4) and a natural place to hold FAQ-schema-eligible, long-tail search content (e.g., "does Zediant build AI features," "what does AI-enabled product engineering mean") without forcing those phrases into the main body copy.</w:t>
      </w:r>
    </w:p>
    <w:p>
      <w:pPr>
        <w:pStyle w:val="Heading3"/>
        <w:spacing w:after="100" w:before="200"/>
      </w:pPr>
      <w:r>
        <w:t xml:space="preserve">Blog/article opportunities (A, from prior audit work on file)</w:t>
      </w:r>
    </w:p>
    <w:p>
      <w:pPr>
        <w:spacing w:after="160"/>
      </w:pPr>
      <w:r>
        <w:rPr>
          <w:b w:val="false"/>
          <w:bCs w:val="false"/>
          <w:i w:val="false"/>
          <w:iCs w:val="false"/>
        </w:rPr>
        <w:t xml:space="preserve">The roadmap-vs-headcount messaging in campaigns.md, and the existing (but currently orphaned from the blog hub) post "When your product roadmap outgrows your engineering team" by Rajeev Jaiswal, are natural supporting content for this page's recommended repositioning — this is a linking/discoverability fix, not new content to be written.</w:t>
      </w:r>
    </w:p>
    <w:p>
      <w:pPr>
        <w:pStyle w:val="Heading1"/>
        <w:spacing w:after="200" w:before="400"/>
      </w:pPr>
      <w:r>
        <w:t xml:space="preserve">16. Keyword Cannibalization Audit</w:t>
      </w:r>
    </w:p>
    <w:p>
      <w:pPr>
        <w:spacing w:after="160"/>
      </w:pPr>
      <w:r>
        <w:rPr>
          <w:b w:val="false"/>
          <w:bCs w:val="false"/>
          <w:i w:val="false"/>
          <w:iCs w:val="false"/>
        </w:rPr>
        <w:t xml:space="preserve">Per this project's approved SEO keyword map (already on file), each of the four current service pages targets a distinct primary keyword, so this is not a classic one-phrase-two-URLs cannibalization case. The risk here is topical/semantic overlap and template duplication, which functions as a soft cannibalization risk even where primary keywords differ — a search engine (and a reader) can reasonably judge two pages as covering the same ground even when their exact-match target phrases differ.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00"/>
        <w:gridCol w:w="1550"/>
        <w:gridCol w:w="1700"/>
      </w:tblGrid>
      <w:tr>
        <w:trPr>
          <w:tblHeader/>
        </w:trPr>
        <w:tc>
          <w:tcPr>
            <w:tcW w:type="dxa" w:w="2000"/>
            <w:shd w:fill="1F3864" w:val="clear"/>
            <w:tcMar>
              <w:top w:type="dxa" w:w="60"/>
              <w:left w:type="dxa" w:w="100"/>
              <w:bottom w:type="dxa" w:w="60"/>
              <w:right w:type="dxa" w:w="100"/>
            </w:tcMar>
          </w:tcPr>
          <w:p>
            <w:r>
              <w:rPr>
                <w:b/>
                <w:bCs/>
                <w:color w:val="FFFFFF"/>
                <w:sz w:val="18"/>
                <w:szCs w:val="18"/>
              </w:rPr>
              <w:t xml:space="preserve">Page A</w:t>
            </w:r>
          </w:p>
        </w:tc>
        <w:tc>
          <w:tcPr>
            <w:tcW w:type="dxa" w:w="2000"/>
            <w:shd w:fill="1F3864" w:val="clear"/>
            <w:tcMar>
              <w:top w:type="dxa" w:w="60"/>
              <w:left w:type="dxa" w:w="100"/>
              <w:bottom w:type="dxa" w:w="60"/>
              <w:right w:type="dxa" w:w="100"/>
            </w:tcMar>
          </w:tcPr>
          <w:p>
            <w:r>
              <w:rPr>
                <w:b/>
                <w:bCs/>
                <w:color w:val="FFFFFF"/>
                <w:sz w:val="18"/>
                <w:szCs w:val="18"/>
              </w:rPr>
              <w:t xml:space="preserve">Page B</w:t>
            </w:r>
          </w:p>
        </w:tc>
        <w:tc>
          <w:tcPr>
            <w:tcW w:type="dxa" w:w="2100"/>
            <w:shd w:fill="1F3864" w:val="clear"/>
            <w:tcMar>
              <w:top w:type="dxa" w:w="60"/>
              <w:left w:type="dxa" w:w="100"/>
              <w:bottom w:type="dxa" w:w="60"/>
              <w:right w:type="dxa" w:w="100"/>
            </w:tcMar>
          </w:tcPr>
          <w:p>
            <w:r>
              <w:rPr>
                <w:b/>
                <w:bCs/>
                <w:color w:val="FFFFFF"/>
                <w:sz w:val="18"/>
                <w:szCs w:val="18"/>
              </w:rPr>
              <w:t xml:space="preserve">Overlapping topic</w:t>
            </w:r>
          </w:p>
        </w:tc>
        <w:tc>
          <w:tcPr>
            <w:tcW w:type="dxa" w:w="1550"/>
            <w:shd w:fill="1F3864" w:val="clear"/>
            <w:tcMar>
              <w:top w:type="dxa" w:w="60"/>
              <w:left w:type="dxa" w:w="100"/>
              <w:bottom w:type="dxa" w:w="60"/>
              <w:right w:type="dxa" w:w="100"/>
            </w:tcMar>
          </w:tcPr>
          <w:p>
            <w:r>
              <w:rPr>
                <w:b/>
                <w:bCs/>
                <w:color w:val="FFFFFF"/>
                <w:sz w:val="18"/>
                <w:szCs w:val="18"/>
              </w:rPr>
              <w:t xml:space="preserve">Risk</w:t>
            </w:r>
          </w:p>
        </w:tc>
        <w:tc>
          <w:tcPr>
            <w:tcW w:type="dxa" w:w="1700"/>
            <w:shd w:fill="1F3864" w:val="clear"/>
            <w:tcMar>
              <w:top w:type="dxa" w:w="60"/>
              <w:left w:type="dxa" w:w="100"/>
              <w:bottom w:type="dxa" w:w="60"/>
              <w:right w:type="dxa" w:w="100"/>
            </w:tcMar>
          </w:tcPr>
          <w:p>
            <w:r>
              <w:rPr>
                <w:b/>
                <w:bCs/>
                <w:color w:val="FFFFFF"/>
                <w:sz w:val="18"/>
                <w:szCs w:val="18"/>
              </w:rPr>
              <w:t xml:space="preserve">Recommendation</w:t>
            </w:r>
          </w:p>
        </w:tc>
      </w:tr>
      <w:tr>
        <w:tc>
          <w:tcPr>
            <w:tcW w:type="dxa" w:w="2000"/>
            <w:tcMar>
              <w:top w:type="dxa" w:w="60"/>
              <w:left w:type="dxa" w:w="100"/>
              <w:bottom w:type="dxa" w:w="60"/>
              <w:right w:type="dxa" w:w="100"/>
            </w:tcMar>
          </w:tcPr>
          <w:p>
            <w:r>
              <w:rPr>
                <w:b w:val="false"/>
                <w:bCs w:val="false"/>
                <w:sz w:val="18"/>
                <w:szCs w:val="18"/>
              </w:rPr>
              <w:t xml:space="preserve">AI-Enabled Product Engineering</w:t>
            </w:r>
          </w:p>
        </w:tc>
        <w:tc>
          <w:tcPr>
            <w:tcW w:type="dxa" w:w="2000"/>
            <w:tcMar>
              <w:top w:type="dxa" w:w="60"/>
              <w:left w:type="dxa" w:w="100"/>
              <w:bottom w:type="dxa" w:w="60"/>
              <w:right w:type="dxa" w:w="100"/>
            </w:tcMar>
          </w:tcPr>
          <w:p>
            <w:r>
              <w:rPr>
                <w:b w:val="false"/>
                <w:bCs w:val="false"/>
                <w:sz w:val="18"/>
                <w:szCs w:val="18"/>
              </w:rPr>
              <w:t xml:space="preserve">Platform Engineering &amp; Cloud DevOps</w:t>
            </w:r>
          </w:p>
        </w:tc>
        <w:tc>
          <w:tcPr>
            <w:tcW w:type="dxa" w:w="2100"/>
            <w:tcMar>
              <w:top w:type="dxa" w:w="60"/>
              <w:left w:type="dxa" w:w="100"/>
              <w:bottom w:type="dxa" w:w="60"/>
              <w:right w:type="dxa" w:w="100"/>
            </w:tcMar>
          </w:tcPr>
          <w:p>
            <w:r>
              <w:rPr>
                <w:b w:val="false"/>
                <w:bCs w:val="false"/>
                <w:sz w:val="18"/>
                <w:szCs w:val="18"/>
              </w:rPr>
              <w:t xml:space="preserve">"Platform," architecture, API-first/API-ecosystem language, near-identical 4-icon AI-workflow grid, same 30–40%/40% stat</w:t>
            </w:r>
          </w:p>
        </w:tc>
        <w:tc>
          <w:tcPr>
            <w:tcW w:type="dxa" w:w="1550"/>
            <w:tcMar>
              <w:top w:type="dxa" w:w="60"/>
              <w:left w:type="dxa" w:w="100"/>
              <w:bottom w:type="dxa" w:w="60"/>
              <w:right w:type="dxa" w:w="100"/>
            </w:tcMar>
          </w:tcPr>
          <w:p>
            <w:r>
              <w:rPr>
                <w:b w:val="false"/>
                <w:bCs w:val="false"/>
                <w:sz w:val="18"/>
                <w:szCs w:val="18"/>
              </w:rPr>
              <w:t xml:space="preserve">High — the two pages most likely to be confused by a reader or under-differentiated by a search engine</w:t>
            </w:r>
          </w:p>
        </w:tc>
        <w:tc>
          <w:tcPr>
            <w:tcW w:type="dxa" w:w="1700"/>
            <w:tcMar>
              <w:top w:type="dxa" w:w="60"/>
              <w:left w:type="dxa" w:w="100"/>
              <w:bottom w:type="dxa" w:w="60"/>
              <w:right w:type="dxa" w:w="100"/>
            </w:tcMar>
          </w:tcPr>
          <w:p>
            <w:r>
              <w:rPr>
                <w:b w:val="false"/>
                <w:bCs w:val="false"/>
                <w:sz w:val="18"/>
                <w:szCs w:val="18"/>
              </w:rPr>
              <w:t xml:space="preserve">Reserve "platform-first"/infrastructure language for Platform Engineering; anchor this page's language in product/roadmap/MVP terms instead (see Section 8, Q12)</w:t>
            </w:r>
          </w:p>
        </w:tc>
      </w:tr>
      <w:tr>
        <w:tc>
          <w:tcPr>
            <w:tcW w:type="dxa" w:w="2000"/>
            <w:tcMar>
              <w:top w:type="dxa" w:w="60"/>
              <w:left w:type="dxa" w:w="100"/>
              <w:bottom w:type="dxa" w:w="60"/>
              <w:right w:type="dxa" w:w="100"/>
            </w:tcMar>
          </w:tcPr>
          <w:p>
            <w:r>
              <w:rPr>
                <w:b w:val="false"/>
                <w:bCs w:val="false"/>
                <w:sz w:val="18"/>
                <w:szCs w:val="18"/>
              </w:rPr>
              <w:t xml:space="preserve">AI-Enabled Product Engineering</w:t>
            </w:r>
          </w:p>
        </w:tc>
        <w:tc>
          <w:tcPr>
            <w:tcW w:type="dxa" w:w="2000"/>
            <w:tcMar>
              <w:top w:type="dxa" w:w="60"/>
              <w:left w:type="dxa" w:w="100"/>
              <w:bottom w:type="dxa" w:w="60"/>
              <w:right w:type="dxa" w:w="100"/>
            </w:tcMar>
          </w:tcPr>
          <w:p>
            <w:r>
              <w:rPr>
                <w:b w:val="false"/>
                <w:bCs w:val="false"/>
                <w:sz w:val="18"/>
                <w:szCs w:val="18"/>
              </w:rPr>
              <w:t xml:space="preserve">Enterprise Custom Development</w:t>
            </w:r>
          </w:p>
        </w:tc>
        <w:tc>
          <w:tcPr>
            <w:tcW w:type="dxa" w:w="2100"/>
            <w:tcMar>
              <w:top w:type="dxa" w:w="60"/>
              <w:left w:type="dxa" w:w="100"/>
              <w:bottom w:type="dxa" w:w="60"/>
              <w:right w:type="dxa" w:w="100"/>
            </w:tcMar>
          </w:tcPr>
          <w:p>
            <w:r>
              <w:rPr>
                <w:b w:val="false"/>
                <w:bCs w:val="false"/>
                <w:sz w:val="18"/>
                <w:szCs w:val="18"/>
              </w:rPr>
              <w:t xml:space="preserve">"PLCs and global brands" audience framing appears, in slightly different wording, on both pages</w:t>
            </w:r>
          </w:p>
        </w:tc>
        <w:tc>
          <w:tcPr>
            <w:tcW w:type="dxa" w:w="1550"/>
            <w:tcMar>
              <w:top w:type="dxa" w:w="60"/>
              <w:left w:type="dxa" w:w="100"/>
              <w:bottom w:type="dxa" w:w="60"/>
              <w:right w:type="dxa" w:w="100"/>
            </w:tcMar>
          </w:tcPr>
          <w:p>
            <w:r>
              <w:rPr>
                <w:b w:val="false"/>
                <w:bCs w:val="false"/>
                <w:sz w:val="18"/>
                <w:szCs w:val="18"/>
              </w:rPr>
              <w:t xml:space="preserve">Medium — both pages currently borrow the same narrow audience descriptor, which is documented elsewhere as unsupported by either page's actual ICP</w:t>
            </w:r>
          </w:p>
        </w:tc>
        <w:tc>
          <w:tcPr>
            <w:tcW w:type="dxa" w:w="1700"/>
            <w:tcMar>
              <w:top w:type="dxa" w:w="60"/>
              <w:left w:type="dxa" w:w="100"/>
              <w:bottom w:type="dxa" w:w="60"/>
              <w:right w:type="dxa" w:w="100"/>
            </w:tcMar>
          </w:tcPr>
          <w:p>
            <w:r>
              <w:rPr>
                <w:b w:val="false"/>
                <w:bCs w:val="false"/>
                <w:sz w:val="18"/>
                <w:szCs w:val="18"/>
              </w:rPr>
              <w:t xml:space="preserve">Remove the PLC framing from both pages independently — this page's ICP (10–200 employees, Seed–Series B) and Enterprise Custom Development's ICP are already meant to be distinct; the shared PLC language is erasing that distinction, not creating overlap in search terms</w:t>
            </w:r>
          </w:p>
        </w:tc>
      </w:tr>
      <w:tr>
        <w:tc>
          <w:tcPr>
            <w:tcW w:type="dxa" w:w="2000"/>
            <w:tcMar>
              <w:top w:type="dxa" w:w="60"/>
              <w:left w:type="dxa" w:w="100"/>
              <w:bottom w:type="dxa" w:w="60"/>
              <w:right w:type="dxa" w:w="100"/>
            </w:tcMar>
          </w:tcPr>
          <w:p>
            <w:r>
              <w:rPr>
                <w:b w:val="false"/>
                <w:bCs w:val="false"/>
                <w:sz w:val="18"/>
                <w:szCs w:val="18"/>
              </w:rPr>
              <w:t xml:space="preserve">AI-Enabled Product Engineering</w:t>
            </w:r>
          </w:p>
        </w:tc>
        <w:tc>
          <w:tcPr>
            <w:tcW w:type="dxa" w:w="2000"/>
            <w:tcMar>
              <w:top w:type="dxa" w:w="60"/>
              <w:left w:type="dxa" w:w="100"/>
              <w:bottom w:type="dxa" w:w="60"/>
              <w:right w:type="dxa" w:w="100"/>
            </w:tcMar>
          </w:tcPr>
          <w:p>
            <w:r>
              <w:rPr>
                <w:b w:val="false"/>
                <w:bCs w:val="false"/>
                <w:sz w:val="18"/>
                <w:szCs w:val="18"/>
              </w:rPr>
              <w:t xml:space="preserve">Dedicated Engineering Pods</w:t>
            </w:r>
          </w:p>
        </w:tc>
        <w:tc>
          <w:tcPr>
            <w:tcW w:type="dxa" w:w="2100"/>
            <w:tcMar>
              <w:top w:type="dxa" w:w="60"/>
              <w:left w:type="dxa" w:w="100"/>
              <w:bottom w:type="dxa" w:w="60"/>
              <w:right w:type="dxa" w:w="100"/>
            </w:tcMar>
          </w:tcPr>
          <w:p>
            <w:r>
              <w:rPr>
                <w:b w:val="false"/>
                <w:bCs w:val="false"/>
                <w:sz w:val="18"/>
                <w:szCs w:val="18"/>
              </w:rPr>
              <w:t xml:space="preserve">Both describe "senior engineers, extension of your team"; the AI-lifecycle 4-icon grid pattern repeats (different icon names, same shape)</w:t>
            </w:r>
          </w:p>
        </w:tc>
        <w:tc>
          <w:tcPr>
            <w:tcW w:type="dxa" w:w="1550"/>
            <w:tcMar>
              <w:top w:type="dxa" w:w="60"/>
              <w:left w:type="dxa" w:w="100"/>
              <w:bottom w:type="dxa" w:w="60"/>
              <w:right w:type="dxa" w:w="100"/>
            </w:tcMar>
          </w:tcPr>
          <w:p>
            <w:r>
              <w:rPr>
                <w:b w:val="false"/>
                <w:bCs w:val="false"/>
                <w:sz w:val="18"/>
                <w:szCs w:val="18"/>
              </w:rPr>
              <w:t xml:space="preserve">Low-Medium — primary keywords are well differentiated (product engineering vs. dedicated pods), but a reader evaluating both pages back-to-back experiences template repetition</w:t>
            </w:r>
          </w:p>
        </w:tc>
        <w:tc>
          <w:tcPr>
            <w:tcW w:type="dxa" w:w="1700"/>
            <w:tcMar>
              <w:top w:type="dxa" w:w="60"/>
              <w:left w:type="dxa" w:w="100"/>
              <w:bottom w:type="dxa" w:w="60"/>
              <w:right w:type="dxa" w:w="100"/>
            </w:tcMar>
          </w:tcPr>
          <w:p>
            <w:r>
              <w:rPr>
                <w:b w:val="false"/>
                <w:bCs w:val="false"/>
                <w:sz w:val="18"/>
                <w:szCs w:val="18"/>
              </w:rPr>
              <w:t xml:space="preserve">No keyword action needed; a content-quality fix (borrow Dedicated Engineering's confident, named-IP style rather than its literal content) is sufficient</w:t>
            </w:r>
          </w:p>
        </w:tc>
      </w:tr>
    </w:tbl>
    <w:p>
      <w:pPr>
        <w:spacing w:after="160"/>
      </w:pPr>
      <w:r>
        <w:rPr>
          <w:b w:val="false"/>
          <w:bCs w:val="false"/>
          <w:i w:val="false"/>
          <w:iCs w:val="false"/>
        </w:rPr>
        <w:t xml:space="preserve">No new page is recommended to resolve any of the above — per the content-gap analysis already on file for this site, existing-page differentiation is the correct fix, not new URLs, and creating a fifth service page to further split this topic would itself introduce a new cannibalization risk.</w:t>
      </w:r>
    </w:p>
    <w:p>
      <w:r>
        <w:br w:type="page"/>
      </w:r>
    </w:p>
    <w:p>
      <w:pPr>
        <w:pStyle w:val="Heading1"/>
        <w:spacing w:after="200" w:before="400"/>
      </w:pPr>
      <w:r>
        <w:t xml:space="preserve">17. Internal Linking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000"/>
        <w:gridCol w:w="4000"/>
      </w:tblGrid>
      <w:tr>
        <w:trPr>
          <w:tblHeader/>
        </w:trPr>
        <w:tc>
          <w:tcPr>
            <w:tcW w:type="dxa" w:w="2350"/>
            <w:shd w:fill="1F3864" w:val="clear"/>
            <w:tcMar>
              <w:top w:type="dxa" w:w="60"/>
              <w:left w:type="dxa" w:w="100"/>
              <w:bottom w:type="dxa" w:w="60"/>
              <w:right w:type="dxa" w:w="100"/>
            </w:tcMar>
          </w:tcPr>
          <w:p>
            <w:r>
              <w:rPr>
                <w:b/>
                <w:bCs/>
                <w:color w:val="FFFFFF"/>
                <w:sz w:val="18"/>
                <w:szCs w:val="18"/>
              </w:rPr>
              <w:t xml:space="preserve">Link</w:t>
            </w:r>
          </w:p>
        </w:tc>
        <w:tc>
          <w:tcPr>
            <w:tcW w:type="dxa" w:w="3000"/>
            <w:shd w:fill="1F3864" w:val="clear"/>
            <w:tcMar>
              <w:top w:type="dxa" w:w="60"/>
              <w:left w:type="dxa" w:w="100"/>
              <w:bottom w:type="dxa" w:w="60"/>
              <w:right w:type="dxa" w:w="100"/>
            </w:tcMar>
          </w:tcPr>
          <w:p>
            <w:r>
              <w:rPr>
                <w:b/>
                <w:bCs/>
                <w:color w:val="FFFFFF"/>
                <w:sz w:val="18"/>
                <w:szCs w:val="18"/>
              </w:rPr>
              <w:t xml:space="preserve">Current state (A)</w:t>
            </w:r>
          </w:p>
        </w:tc>
        <w:tc>
          <w:tcPr>
            <w:tcW w:type="dxa" w:w="4000"/>
            <w:shd w:fill="1F3864" w:val="clear"/>
            <w:tcMar>
              <w:top w:type="dxa" w:w="60"/>
              <w:left w:type="dxa" w:w="100"/>
              <w:bottom w:type="dxa" w:w="60"/>
              <w:right w:type="dxa" w:w="100"/>
            </w:tcMar>
          </w:tcPr>
          <w:p>
            <w:r>
              <w:rPr>
                <w:b/>
                <w:bCs/>
                <w:color w:val="FFFFFF"/>
                <w:sz w:val="18"/>
                <w:szCs w:val="18"/>
              </w:rPr>
              <w:t xml:space="preserve">Recommendation (C) &amp; purpose</w:t>
            </w:r>
          </w:p>
        </w:tc>
      </w:tr>
      <w:tr>
        <w:tc>
          <w:tcPr>
            <w:tcW w:type="dxa" w:w="2350"/>
            <w:tcMar>
              <w:top w:type="dxa" w:w="60"/>
              <w:left w:type="dxa" w:w="100"/>
              <w:bottom w:type="dxa" w:w="60"/>
              <w:right w:type="dxa" w:w="100"/>
            </w:tcMar>
          </w:tcPr>
          <w:p>
            <w:r>
              <w:rPr>
                <w:b w:val="false"/>
                <w:bCs w:val="false"/>
                <w:sz w:val="18"/>
                <w:szCs w:val="18"/>
              </w:rPr>
              <w:t xml:space="preserve">Homepage → this page</w:t>
            </w:r>
          </w:p>
        </w:tc>
        <w:tc>
          <w:tcPr>
            <w:tcW w:type="dxa" w:w="3000"/>
            <w:tcMar>
              <w:top w:type="dxa" w:w="60"/>
              <w:left w:type="dxa" w:w="100"/>
              <w:bottom w:type="dxa" w:w="60"/>
              <w:right w:type="dxa" w:w="100"/>
            </w:tcMar>
          </w:tcPr>
          <w:p>
            <w:r>
              <w:rPr>
                <w:b w:val="false"/>
                <w:bCs w:val="false"/>
                <w:sz w:val="18"/>
                <w:szCs w:val="18"/>
              </w:rPr>
              <w:t xml:space="preserve">Present via global nav + a homepage service card ("AI-Enabled Product Engineering — Collaborate with experienced engineers in building and developing your software products through advanced AI-driven software development methods")</w:t>
            </w:r>
          </w:p>
        </w:tc>
        <w:tc>
          <w:tcPr>
            <w:tcW w:type="dxa" w:w="4000"/>
            <w:tcMar>
              <w:top w:type="dxa" w:w="60"/>
              <w:left w:type="dxa" w:w="100"/>
              <w:bottom w:type="dxa" w:w="60"/>
              <w:right w:type="dxa" w:w="100"/>
            </w:tcMar>
          </w:tcPr>
          <w:p>
            <w:r>
              <w:rPr>
                <w:b w:val="false"/>
                <w:bCs w:val="false"/>
                <w:sz w:val="18"/>
                <w:szCs w:val="18"/>
              </w:rPr>
              <w:t xml:space="preserve">Keep; wording is reasonably aligned with the recommended repositioning already.</w:t>
            </w:r>
          </w:p>
        </w:tc>
      </w:tr>
      <w:tr>
        <w:tc>
          <w:tcPr>
            <w:tcW w:type="dxa" w:w="2350"/>
            <w:tcMar>
              <w:top w:type="dxa" w:w="60"/>
              <w:left w:type="dxa" w:w="100"/>
              <w:bottom w:type="dxa" w:w="60"/>
              <w:right w:type="dxa" w:w="100"/>
            </w:tcMar>
          </w:tcPr>
          <w:p>
            <w:r>
              <w:rPr>
                <w:b w:val="false"/>
                <w:bCs w:val="false"/>
                <w:sz w:val="18"/>
                <w:szCs w:val="18"/>
              </w:rPr>
              <w:t xml:space="preserve">This page → Dedicated Engineering</w:t>
            </w:r>
          </w:p>
        </w:tc>
        <w:tc>
          <w:tcPr>
            <w:tcW w:type="dxa" w:w="3000"/>
            <w:tcMar>
              <w:top w:type="dxa" w:w="60"/>
              <w:left w:type="dxa" w:w="100"/>
              <w:bottom w:type="dxa" w:w="60"/>
              <w:right w:type="dxa" w:w="100"/>
            </w:tcMar>
          </w:tcPr>
          <w:p>
            <w:r>
              <w:rPr>
                <w:b w:val="false"/>
                <w:bCs w:val="false"/>
                <w:sz w:val="18"/>
                <w:szCs w:val="18"/>
              </w:rPr>
              <w:t xml:space="preserve">Global nav only</w:t>
            </w:r>
          </w:p>
        </w:tc>
        <w:tc>
          <w:tcPr>
            <w:tcW w:type="dxa" w:w="4000"/>
            <w:tcMar>
              <w:top w:type="dxa" w:w="60"/>
              <w:left w:type="dxa" w:w="100"/>
              <w:bottom w:type="dxa" w:w="60"/>
              <w:right w:type="dxa" w:w="100"/>
            </w:tcMar>
          </w:tcPr>
          <w:p>
            <w:r>
              <w:rPr>
                <w:b w:val="false"/>
                <w:bCs w:val="false"/>
                <w:sz w:val="18"/>
                <w:szCs w:val="18"/>
              </w:rPr>
              <w:t xml:space="preserve">Add a contextual link where the page discusses team/delivery model — purpose: for buyers whose need is ongoing capacity rather than a discrete build, route them to the page built for that need.</w:t>
            </w:r>
          </w:p>
        </w:tc>
      </w:tr>
      <w:tr>
        <w:tc>
          <w:tcPr>
            <w:tcW w:type="dxa" w:w="2350"/>
            <w:tcMar>
              <w:top w:type="dxa" w:w="60"/>
              <w:left w:type="dxa" w:w="100"/>
              <w:bottom w:type="dxa" w:w="60"/>
              <w:right w:type="dxa" w:w="100"/>
            </w:tcMar>
          </w:tcPr>
          <w:p>
            <w:r>
              <w:rPr>
                <w:b w:val="false"/>
                <w:bCs w:val="false"/>
                <w:sz w:val="18"/>
                <w:szCs w:val="18"/>
              </w:rPr>
              <w:t xml:space="preserve">This page → Platform Engineering</w:t>
            </w:r>
          </w:p>
        </w:tc>
        <w:tc>
          <w:tcPr>
            <w:tcW w:type="dxa" w:w="3000"/>
            <w:tcMar>
              <w:top w:type="dxa" w:w="60"/>
              <w:left w:type="dxa" w:w="100"/>
              <w:bottom w:type="dxa" w:w="60"/>
              <w:right w:type="dxa" w:w="100"/>
            </w:tcMar>
          </w:tcPr>
          <w:p>
            <w:r>
              <w:rPr>
                <w:b w:val="false"/>
                <w:bCs w:val="false"/>
                <w:sz w:val="18"/>
                <w:szCs w:val="18"/>
              </w:rPr>
              <w:t xml:space="preserve">Global nav only</w:t>
            </w:r>
          </w:p>
        </w:tc>
        <w:tc>
          <w:tcPr>
            <w:tcW w:type="dxa" w:w="4000"/>
            <w:tcMar>
              <w:top w:type="dxa" w:w="60"/>
              <w:left w:type="dxa" w:w="100"/>
              <w:bottom w:type="dxa" w:w="60"/>
              <w:right w:type="dxa" w:w="100"/>
            </w:tcMar>
          </w:tcPr>
          <w:p>
            <w:r>
              <w:rPr>
                <w:b w:val="false"/>
                <w:bCs w:val="false"/>
                <w:sz w:val="18"/>
                <w:szCs w:val="18"/>
              </w:rPr>
              <w:t xml:space="preserve">Add one explicit, differentiating contextual link (e.g., "for infrastructure and platform scaling specifically, see Platform Engineering") — purpose: make the boundary between the two pages explicit rather than letting a reader infer it, which directly supports the Section 16 cannibalization fix.</w:t>
            </w:r>
          </w:p>
        </w:tc>
      </w:tr>
      <w:tr>
        <w:tc>
          <w:tcPr>
            <w:tcW w:type="dxa" w:w="2350"/>
            <w:tcMar>
              <w:top w:type="dxa" w:w="60"/>
              <w:left w:type="dxa" w:w="100"/>
              <w:bottom w:type="dxa" w:w="60"/>
              <w:right w:type="dxa" w:w="100"/>
            </w:tcMar>
          </w:tcPr>
          <w:p>
            <w:r>
              <w:rPr>
                <w:b w:val="false"/>
                <w:bCs w:val="false"/>
                <w:sz w:val="18"/>
                <w:szCs w:val="18"/>
              </w:rPr>
              <w:t xml:space="preserve">This page → Enterprise Custom Development</w:t>
            </w:r>
          </w:p>
        </w:tc>
        <w:tc>
          <w:tcPr>
            <w:tcW w:type="dxa" w:w="3000"/>
            <w:tcMar>
              <w:top w:type="dxa" w:w="60"/>
              <w:left w:type="dxa" w:w="100"/>
              <w:bottom w:type="dxa" w:w="60"/>
              <w:right w:type="dxa" w:w="100"/>
            </w:tcMar>
          </w:tcPr>
          <w:p>
            <w:r>
              <w:rPr>
                <w:b w:val="false"/>
                <w:bCs w:val="false"/>
                <w:sz w:val="18"/>
                <w:szCs w:val="18"/>
              </w:rPr>
              <w:t xml:space="preserve">Global nav only</w:t>
            </w:r>
          </w:p>
        </w:tc>
        <w:tc>
          <w:tcPr>
            <w:tcW w:type="dxa" w:w="4000"/>
            <w:tcMar>
              <w:top w:type="dxa" w:w="60"/>
              <w:left w:type="dxa" w:w="100"/>
              <w:bottom w:type="dxa" w:w="60"/>
              <w:right w:type="dxa" w:w="100"/>
            </w:tcMar>
          </w:tcPr>
          <w:p>
            <w:r>
              <w:rPr>
                <w:b w:val="false"/>
                <w:bCs w:val="false"/>
                <w:sz w:val="18"/>
                <w:szCs w:val="18"/>
              </w:rPr>
              <w:t xml:space="preserve">Lower priority than the two above; a link is reasonable if/when the page discusses legacy-system integration into a new product build, but is not a primary gap.</w:t>
            </w:r>
          </w:p>
        </w:tc>
      </w:tr>
      <w:tr>
        <w:tc>
          <w:tcPr>
            <w:tcW w:type="dxa" w:w="2350"/>
            <w:tcMar>
              <w:top w:type="dxa" w:w="60"/>
              <w:left w:type="dxa" w:w="100"/>
              <w:bottom w:type="dxa" w:w="60"/>
              <w:right w:type="dxa" w:w="100"/>
            </w:tcMar>
          </w:tcPr>
          <w:p>
            <w:r>
              <w:rPr>
                <w:b w:val="false"/>
                <w:bCs w:val="false"/>
                <w:sz w:val="18"/>
                <w:szCs w:val="18"/>
              </w:rPr>
              <w:t xml:space="preserve">This page → relevant industries</w:t>
            </w:r>
          </w:p>
        </w:tc>
        <w:tc>
          <w:tcPr>
            <w:tcW w:type="dxa" w:w="3000"/>
            <w:tcMar>
              <w:top w:type="dxa" w:w="60"/>
              <w:left w:type="dxa" w:w="100"/>
              <w:bottom w:type="dxa" w:w="60"/>
              <w:right w:type="dxa" w:w="100"/>
            </w:tcMar>
          </w:tcPr>
          <w:p>
            <w:r>
              <w:rPr>
                <w:b w:val="false"/>
                <w:bCs w:val="false"/>
                <w:sz w:val="18"/>
                <w:szCs w:val="18"/>
              </w:rPr>
              <w:t xml:space="preserve">None (no industry landing pages exist)</w:t>
            </w:r>
          </w:p>
        </w:tc>
        <w:tc>
          <w:tcPr>
            <w:tcW w:type="dxa" w:w="4000"/>
            <w:tcMar>
              <w:top w:type="dxa" w:w="60"/>
              <w:left w:type="dxa" w:w="100"/>
              <w:bottom w:type="dxa" w:w="60"/>
              <w:right w:type="dxa" w:w="100"/>
            </w:tcMar>
          </w:tcPr>
          <w:p>
            <w:r>
              <w:rPr>
                <w:b w:val="false"/>
                <w:bCs w:val="false"/>
                <w:sz w:val="18"/>
                <w:szCs w:val="18"/>
              </w:rPr>
              <w:t xml:space="preserve">Not applicable until/unless industry pages are built; out of scope for this page's own fix.</w:t>
            </w:r>
          </w:p>
        </w:tc>
      </w:tr>
      <w:tr>
        <w:tc>
          <w:tcPr>
            <w:tcW w:type="dxa" w:w="2350"/>
            <w:tcMar>
              <w:top w:type="dxa" w:w="60"/>
              <w:left w:type="dxa" w:w="100"/>
              <w:bottom w:type="dxa" w:w="60"/>
              <w:right w:type="dxa" w:w="100"/>
            </w:tcMar>
          </w:tcPr>
          <w:p>
            <w:r>
              <w:rPr>
                <w:b w:val="false"/>
                <w:bCs w:val="false"/>
                <w:sz w:val="18"/>
                <w:szCs w:val="18"/>
              </w:rPr>
              <w:t xml:space="preserve">This page → relevant case studies</w:t>
            </w:r>
          </w:p>
        </w:tc>
        <w:tc>
          <w:tcPr>
            <w:tcW w:type="dxa" w:w="3000"/>
            <w:tcMar>
              <w:top w:type="dxa" w:w="60"/>
              <w:left w:type="dxa" w:w="100"/>
              <w:bottom w:type="dxa" w:w="60"/>
              <w:right w:type="dxa" w:w="100"/>
            </w:tcMar>
          </w:tcPr>
          <w:p>
            <w:r>
              <w:rPr>
                <w:b w:val="false"/>
                <w:bCs w:val="false"/>
                <w:sz w:val="18"/>
                <w:szCs w:val="18"/>
              </w:rPr>
              <w:t xml:space="preserve">None</w:t>
            </w:r>
          </w:p>
        </w:tc>
        <w:tc>
          <w:tcPr>
            <w:tcW w:type="dxa" w:w="4000"/>
            <w:tcMar>
              <w:top w:type="dxa" w:w="60"/>
              <w:left w:type="dxa" w:w="100"/>
              <w:bottom w:type="dxa" w:w="60"/>
              <w:right w:type="dxa" w:w="100"/>
            </w:tcMar>
          </w:tcPr>
          <w:p>
            <w:r>
              <w:rPr>
                <w:b w:val="false"/>
                <w:bCs w:val="false"/>
                <w:sz w:val="18"/>
                <w:szCs w:val="18"/>
              </w:rPr>
              <w:t xml:space="preserve">Add 1 contextual link to the Zakaa/Diamond case study (Section 11) — purpose: proof, directly addressing the page's single largest content gap.</w:t>
            </w:r>
          </w:p>
        </w:tc>
      </w:tr>
      <w:tr>
        <w:tc>
          <w:tcPr>
            <w:tcW w:type="dxa" w:w="2350"/>
            <w:tcMar>
              <w:top w:type="dxa" w:w="60"/>
              <w:left w:type="dxa" w:w="100"/>
              <w:bottom w:type="dxa" w:w="60"/>
              <w:right w:type="dxa" w:w="100"/>
            </w:tcMar>
          </w:tcPr>
          <w:p>
            <w:r>
              <w:rPr>
                <w:b w:val="false"/>
                <w:bCs w:val="false"/>
                <w:sz w:val="18"/>
                <w:szCs w:val="18"/>
              </w:rPr>
              <w:t xml:space="preserve">This page → relevant articles</w:t>
            </w:r>
          </w:p>
        </w:tc>
        <w:tc>
          <w:tcPr>
            <w:tcW w:type="dxa" w:w="3000"/>
            <w:tcMar>
              <w:top w:type="dxa" w:w="60"/>
              <w:left w:type="dxa" w:w="100"/>
              <w:bottom w:type="dxa" w:w="60"/>
              <w:right w:type="dxa" w:w="100"/>
            </w:tcMar>
          </w:tcPr>
          <w:p>
            <w:r>
              <w:rPr>
                <w:b w:val="false"/>
                <w:bCs w:val="false"/>
                <w:sz w:val="18"/>
                <w:szCs w:val="18"/>
              </w:rPr>
              <w:t xml:space="preserve">None</w:t>
            </w:r>
          </w:p>
        </w:tc>
        <w:tc>
          <w:tcPr>
            <w:tcW w:type="dxa" w:w="4000"/>
            <w:tcMar>
              <w:top w:type="dxa" w:w="60"/>
              <w:left w:type="dxa" w:w="100"/>
              <w:bottom w:type="dxa" w:w="60"/>
              <w:right w:type="dxa" w:w="100"/>
            </w:tcMar>
          </w:tcPr>
          <w:p>
            <w:r>
              <w:rPr>
                <w:b w:val="false"/>
                <w:bCs w:val="false"/>
                <w:sz w:val="18"/>
                <w:szCs w:val="18"/>
              </w:rPr>
              <w:t xml:space="preserve">Link to "When your product roadmap outgrows your engineering team" (once its blog-hub discoverability is fixed, per prior audit work on file) — purpose: supports the roadmap-vs-headcount repositioning recommended in Section 2 with existing, already-written content.</w:t>
            </w:r>
          </w:p>
        </w:tc>
      </w:tr>
    </w:tbl>
    <w:p>
      <w:pPr>
        <w:spacing w:after="160"/>
      </w:pPr>
      <w:r>
        <w:rPr>
          <w:b w:val="false"/>
          <w:bCs w:val="false"/>
          <w:i w:val="false"/>
          <w:iCs w:val="false"/>
        </w:rPr>
        <w:t xml:space="preserve">Each recommended link above has a specific contextual purpose tied to a finding elsewhere in this audit, consistent with the brief's instruction not to recommend links for quantity alone.</w:t>
      </w:r>
    </w:p>
    <w:p>
      <w:pPr>
        <w:pStyle w:val="Heading1"/>
        <w:spacing w:after="200" w:before="400"/>
      </w:pPr>
      <w:r>
        <w:t xml:space="preserve">18. P0 Recommendations (Must Fix)</w:t>
      </w:r>
    </w:p>
    <w:p>
      <w:pPr>
        <w:pStyle w:val="ListParagraph"/>
        <w:numPr>
          <w:ilvl w:val="0"/>
          <w:numId w:val="1"/>
        </w:numPr>
        <w:spacing w:after="60"/>
      </w:pPr>
      <w:r>
        <w:t xml:space="preserve">Correct the AI-capability overclaim in the "AI Integration (LLMs &amp; Automation)" capability card and the hero subhead — both currently promise shipped GenAI/LLM product features, which context/services.md and policies/claims-and-compliance.md §5 explicitly say has no client case study and instruct the team not to lead with. This is the single highest-priority fix in this audit — it is a policy-compliance issue, not only a positioning preference.</w:t>
      </w:r>
    </w:p>
    <w:p>
      <w:pPr>
        <w:pStyle w:val="ListParagraph"/>
        <w:numPr>
          <w:ilvl w:val="0"/>
          <w:numId w:val="1"/>
        </w:numPr>
        <w:spacing w:after="60"/>
      </w:pPr>
      <w:r>
        <w:t xml:space="preserve">Rewrite the H1 to include "product engineering" and remove or qualify the unsupported GenAI/ML product promise in the hero subhead (Section 5).</w:t>
      </w:r>
    </w:p>
    <w:p>
      <w:pPr>
        <w:pStyle w:val="ListParagraph"/>
        <w:numPr>
          <w:ilvl w:val="0"/>
          <w:numId w:val="1"/>
        </w:numPr>
        <w:spacing w:after="60"/>
      </w:pPr>
      <w:r>
        <w:t xml:space="preserve">Remove or reframe "Zediant is an AI-First engineering firm" — this phrase directly contradicts services.md's own "mandatory scoping rule."</w:t>
      </w:r>
    </w:p>
    <w:p>
      <w:pPr>
        <w:pStyle w:val="ListParagraph"/>
        <w:numPr>
          <w:ilvl w:val="0"/>
          <w:numId w:val="1"/>
        </w:numPr>
        <w:spacing w:after="60"/>
      </w:pPr>
      <w:r>
        <w:t xml:space="preserve">Remove the "guarantee maximum security" and "Fort Knox"/"toughest security audit" overclaims from the security section and closing CTA — both are unqualified absolute claims sitting directly next to correctly-worded SOC 2 language, undermining it.</w:t>
      </w:r>
    </w:p>
    <w:p>
      <w:pPr>
        <w:pStyle w:val="ListParagraph"/>
        <w:numPr>
          <w:ilvl w:val="0"/>
          <w:numId w:val="1"/>
        </w:numPr>
        <w:spacing w:after="60"/>
      </w:pPr>
      <w:r>
        <w:t xml:space="preserve">Add at least one linked case study to the page — currently zero exist, for the one service whose central claim needs the most external evidence (Section 11).</w:t>
      </w:r>
    </w:p>
    <w:p>
      <w:pPr>
        <w:pStyle w:val="Heading1"/>
        <w:spacing w:after="200" w:before="400"/>
      </w:pPr>
      <w:r>
        <w:t xml:space="preserve">19. P1 Recommendations (Should Fix)</w:t>
      </w:r>
    </w:p>
    <w:p>
      <w:pPr>
        <w:pStyle w:val="ListParagraph"/>
        <w:numPr>
          <w:ilvl w:val="0"/>
          <w:numId w:val="1"/>
        </w:numPr>
        <w:spacing w:after="60"/>
      </w:pPr>
      <w:r>
        <w:t xml:space="preserve">Remove the "PLCs and global brands" audience framing from the "Enterprise Platforms" industry card; correct the "APAC region" footprint description to match the page's actual Australia/UAE/India presence (Section 6, item 6; Section 3).</w:t>
      </w:r>
    </w:p>
    <w:p>
      <w:pPr>
        <w:pStyle w:val="ListParagraph"/>
        <w:numPr>
          <w:ilvl w:val="0"/>
          <w:numId w:val="1"/>
        </w:numPr>
        <w:spacing w:after="60"/>
      </w:pPr>
      <w:r>
        <w:t xml:space="preserve">Attribute the 30–40%/40% delivery claim as company-reported rather than an unqualified flat fact, and differentiate its framing from the near-identical stat on the other three service pages (Section 10).</w:t>
      </w:r>
    </w:p>
    <w:p>
      <w:pPr>
        <w:pStyle w:val="ListParagraph"/>
        <w:numPr>
          <w:ilvl w:val="0"/>
          <w:numId w:val="1"/>
        </w:numPr>
        <w:spacing w:after="60"/>
      </w:pPr>
      <w:r>
        <w:t xml:space="preserve">Standardize CTA wording across the hero, mid-page banner, and footer into one consistent primary phrase; correct "See Our All Services" (Section 14).</w:t>
      </w:r>
    </w:p>
    <w:p>
      <w:pPr>
        <w:pStyle w:val="ListParagraph"/>
        <w:numPr>
          <w:ilvl w:val="0"/>
          <w:numId w:val="1"/>
        </w:numPr>
        <w:spacing w:after="60"/>
      </w:pPr>
      <w:r>
        <w:t xml:space="preserve">Replace "Platform-first engineering approach" and other platform-forward differentiator language with product-engineering-forward language, to reduce overlap with the Platform Engineering page (Section 8, Q12; Section 16).</w:t>
      </w:r>
    </w:p>
    <w:p>
      <w:pPr>
        <w:pStyle w:val="ListParagraph"/>
        <w:numPr>
          <w:ilvl w:val="0"/>
          <w:numId w:val="1"/>
        </w:numPr>
        <w:spacing w:after="60"/>
      </w:pPr>
      <w:r>
        <w:t xml:space="preserve">Add an engagement-model/tiering section — currently the only one of the four service pages besides Dedicated Engineering that lacks any stated "what does working together look like" content (Section 4, Section 7).</w:t>
      </w:r>
    </w:p>
    <w:p>
      <w:pPr>
        <w:pStyle w:val="Heading1"/>
        <w:spacing w:after="200" w:before="400"/>
      </w:pPr>
      <w:r>
        <w:t xml:space="preserve">20. P2 Recommendations (Improvement)</w:t>
      </w:r>
    </w:p>
    <w:p>
      <w:pPr>
        <w:pStyle w:val="ListParagraph"/>
        <w:numPr>
          <w:ilvl w:val="0"/>
          <w:numId w:val="1"/>
        </w:numPr>
        <w:spacing w:after="60"/>
      </w:pPr>
      <w:r>
        <w:t xml:space="preserve">Replace the two large generic AI-stock illustrations with imagery specific to Zediant's actual product/architecture work — DESIGNER REQUIRED (Section 13).</w:t>
      </w:r>
    </w:p>
    <w:p>
      <w:pPr>
        <w:pStyle w:val="ListParagraph"/>
        <w:numPr>
          <w:ilvl w:val="0"/>
          <w:numId w:val="1"/>
        </w:numPr>
        <w:spacing w:after="60"/>
      </w:pPr>
      <w:r>
        <w:t xml:space="preserve">Add a short FAQ addressing the AI-scoping question directly (Section 15).</w:t>
      </w:r>
    </w:p>
    <w:p>
      <w:pPr>
        <w:pStyle w:val="ListParagraph"/>
        <w:numPr>
          <w:ilvl w:val="0"/>
          <w:numId w:val="1"/>
        </w:numPr>
        <w:spacing w:after="60"/>
      </w:pPr>
      <w:r>
        <w:t xml:space="preserve">Add a roadmap-vs-headcount problem statement near the top of the page, drawing on the existing, unused campaigns.md C1 messaging (Section 2, Section 7).</w:t>
      </w:r>
    </w:p>
    <w:p>
      <w:pPr>
        <w:pStyle w:val="ListParagraph"/>
        <w:numPr>
          <w:ilvl w:val="0"/>
          <w:numId w:val="1"/>
        </w:numPr>
        <w:spacing w:after="60"/>
      </w:pPr>
      <w:r>
        <w:t xml:space="preserve">Consider adding 2–3 excerpted client logos or a short testimonial, if approved for reuse from the homepage's existing set (Section 12).</w:t>
      </w:r>
    </w:p>
    <w:p>
      <w:pPr>
        <w:pStyle w:val="ListParagraph"/>
        <w:numPr>
          <w:ilvl w:val="0"/>
          <w:numId w:val="1"/>
        </w:numPr>
        <w:spacing w:after="60"/>
      </w:pPr>
      <w:r>
        <w:t xml:space="preserve">Re-test the page at a mobile viewport specifically for the two large decorative images' load and scroll impact (Section 13).</w:t>
      </w:r>
    </w:p>
    <w:p>
      <w:r>
        <w:br w:type="page"/>
      </w:r>
    </w:p>
    <w:p>
      <w:pPr>
        <w:pStyle w:val="Heading1"/>
        <w:spacing w:after="200" w:before="400"/>
      </w:pPr>
      <w:r>
        <w:t xml:space="preserve">21. Keep / Do Not Change</w:t>
      </w:r>
    </w:p>
    <w:p>
      <w:pPr>
        <w:pStyle w:val="ListParagraph"/>
        <w:numPr>
          <w:ilvl w:val="0"/>
          <w:numId w:val="1"/>
        </w:numPr>
        <w:spacing w:after="60"/>
      </w:pPr>
      <w:r>
        <w:t xml:space="preserve">The "AI Across the Development Lifecycle" four-practice breakdown (Code Acceleration / Testing Automation / Smart Debugging / Knowledge Generation) — the page's most concrete, credible, well-supported section; keep the structure and the four named practices, only adjust the framing sentence around it (Section 6, item 4).</w:t>
      </w:r>
    </w:p>
    <w:p>
      <w:pPr>
        <w:pStyle w:val="ListParagraph"/>
        <w:numPr>
          <w:ilvl w:val="0"/>
          <w:numId w:val="1"/>
        </w:numPr>
        <w:spacing w:after="60"/>
      </w:pPr>
      <w:r>
        <w:t xml:space="preserve">The closing contact form itself (fields, consent checkbox, "Talk to our team" submit) — a well-calibrated, low-friction B2B lead-capture mechanism; only the copy directly above it needs correction (Section 6, item 9).</w:t>
      </w:r>
    </w:p>
    <w:p>
      <w:pPr>
        <w:pStyle w:val="ListParagraph"/>
        <w:numPr>
          <w:ilvl w:val="0"/>
          <w:numId w:val="1"/>
        </w:numPr>
        <w:spacing w:after="60"/>
      </w:pPr>
      <w:r>
        <w:t xml:space="preserve">SOC 2 wording on this specific page — correctly and consistently "Aligned" throughout, in this live pass; preserve this and do not let it regress (Section 6, item 7; Section 12).</w:t>
      </w:r>
    </w:p>
    <w:p>
      <w:pPr>
        <w:pStyle w:val="ListParagraph"/>
        <w:numPr>
          <w:ilvl w:val="0"/>
          <w:numId w:val="1"/>
        </w:numPr>
        <w:spacing w:after="60"/>
      </w:pPr>
      <w:r>
        <w:t xml:space="preserve">"Global Engineering Presence" section — factual, appropriately modest, no changes needed (Section 6, item 8).</w:t>
      </w:r>
    </w:p>
    <w:p>
      <w:pPr>
        <w:pStyle w:val="ListParagraph"/>
        <w:numPr>
          <w:ilvl w:val="0"/>
          <w:numId w:val="1"/>
        </w:numPr>
        <w:spacing w:after="60"/>
      </w:pPr>
      <w:r>
        <w:t xml:space="preserve">Overall visual system (typography, color palette, card-grid layout, icon style, section-transition rhythm) — clean and effective; the fix here is content and a small number of images, not a redesign (Section 13).</w:t>
      </w:r>
    </w:p>
    <w:p>
      <w:pPr>
        <w:pStyle w:val="Heading1"/>
        <w:spacing w:after="200" w:before="400"/>
      </w:pPr>
      <w:r>
        <w:t xml:space="preserve">22. Final Scorecard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50"/>
      </w:tblGrid>
      <w:tr>
        <w:trPr>
          <w:tblHeader/>
        </w:trPr>
        <w:tc>
          <w:tcPr>
            <w:tcW w:type="dxa" w:w="2400"/>
            <w:shd w:fill="1F3864" w:val="clear"/>
            <w:tcMar>
              <w:top w:type="dxa" w:w="60"/>
              <w:left w:type="dxa" w:w="100"/>
              <w:bottom w:type="dxa" w:w="60"/>
              <w:right w:type="dxa" w:w="100"/>
            </w:tcMar>
          </w:tcPr>
          <w:p>
            <w:r>
              <w:rPr>
                <w:b/>
                <w:bCs/>
                <w:color w:val="FFFFFF"/>
                <w:sz w:val="18"/>
                <w:szCs w:val="18"/>
              </w:rPr>
              <w:t xml:space="preserve">Dimension</w:t>
            </w:r>
          </w:p>
        </w:tc>
        <w:tc>
          <w:tcPr>
            <w:tcW w:type="dxa" w:w="1100"/>
            <w:shd w:fill="1F3864" w:val="clear"/>
            <w:tcMar>
              <w:top w:type="dxa" w:w="60"/>
              <w:left w:type="dxa" w:w="100"/>
              <w:bottom w:type="dxa" w:w="60"/>
              <w:right w:type="dxa" w:w="100"/>
            </w:tcMar>
          </w:tcPr>
          <w:p>
            <w:r>
              <w:rPr>
                <w:b/>
                <w:bCs/>
                <w:color w:val="FFFFFF"/>
                <w:sz w:val="18"/>
                <w:szCs w:val="18"/>
              </w:rPr>
              <w:t xml:space="preserve">Score</w:t>
            </w:r>
          </w:p>
        </w:tc>
        <w:tc>
          <w:tcPr>
            <w:tcW w:type="dxa" w:w="5850"/>
            <w:shd w:fill="1F3864" w:val="clear"/>
            <w:tcMar>
              <w:top w:type="dxa" w:w="60"/>
              <w:left w:type="dxa" w:w="100"/>
              <w:bottom w:type="dxa" w:w="60"/>
              <w:right w:type="dxa" w:w="100"/>
            </w:tcMar>
          </w:tcPr>
          <w:p>
            <w:r>
              <w:rPr>
                <w:b/>
                <w:bCs/>
                <w:color w:val="FFFFFF"/>
                <w:sz w:val="18"/>
                <w:szCs w:val="18"/>
              </w:rPr>
              <w:t xml:space="preserve">Basis</w:t>
            </w:r>
          </w:p>
        </w:tc>
      </w:tr>
      <w:tr>
        <w:tc>
          <w:tcPr>
            <w:tcW w:type="dxa" w:w="2400"/>
            <w:tcMar>
              <w:top w:type="dxa" w:w="60"/>
              <w:left w:type="dxa" w:w="100"/>
              <w:bottom w:type="dxa" w:w="60"/>
              <w:right w:type="dxa" w:w="100"/>
            </w:tcMar>
          </w:tcPr>
          <w:p>
            <w:r>
              <w:rPr>
                <w:b w:val="false"/>
                <w:bCs w:val="false"/>
                <w:sz w:val="18"/>
                <w:szCs w:val="18"/>
              </w:rPr>
              <w:t xml:space="preserve">Strategic positioning</w:t>
            </w:r>
          </w:p>
        </w:tc>
        <w:tc>
          <w:tcPr>
            <w:tcW w:type="dxa" w:w="1100"/>
            <w:tcMar>
              <w:top w:type="dxa" w:w="60"/>
              <w:left w:type="dxa" w:w="100"/>
              <w:bottom w:type="dxa" w:w="60"/>
              <w:right w:type="dxa" w:w="100"/>
            </w:tcMar>
          </w:tcPr>
          <w:p>
            <w:r>
              <w:rPr>
                <w:b w:val="false"/>
                <w:bCs w:val="false"/>
                <w:sz w:val="18"/>
                <w:szCs w:val="18"/>
              </w:rPr>
              <w:t xml:space="preserve">3/10</w:t>
            </w:r>
          </w:p>
        </w:tc>
        <w:tc>
          <w:tcPr>
            <w:tcW w:type="dxa" w:w="5850"/>
            <w:tcMar>
              <w:top w:type="dxa" w:w="60"/>
              <w:left w:type="dxa" w:w="100"/>
              <w:bottom w:type="dxa" w:w="60"/>
              <w:right w:type="dxa" w:w="100"/>
            </w:tcMar>
          </w:tcPr>
          <w:p>
            <w:r>
              <w:rPr>
                <w:b w:val="false"/>
                <w:bCs w:val="false"/>
                <w:sz w:val="18"/>
                <w:szCs w:val="18"/>
              </w:rPr>
              <w:t xml:space="preserve">Reads as an AI-development vendor rather than a product-engineering partner; overlaps Platform Engineering; contradicts the company's own AI-scoping policy.</w:t>
            </w:r>
          </w:p>
        </w:tc>
      </w:tr>
      <w:tr>
        <w:tc>
          <w:tcPr>
            <w:tcW w:type="dxa" w:w="2400"/>
            <w:tcMar>
              <w:top w:type="dxa" w:w="60"/>
              <w:left w:type="dxa" w:w="100"/>
              <w:bottom w:type="dxa" w:w="60"/>
              <w:right w:type="dxa" w:w="100"/>
            </w:tcMar>
          </w:tcPr>
          <w:p>
            <w:r>
              <w:rPr>
                <w:b w:val="false"/>
                <w:bCs w:val="false"/>
                <w:sz w:val="18"/>
                <w:szCs w:val="18"/>
              </w:rPr>
              <w:t xml:space="preserve">Target customer clarity</w:t>
            </w:r>
          </w:p>
        </w:tc>
        <w:tc>
          <w:tcPr>
            <w:tcW w:type="dxa" w:w="1100"/>
            <w:tcMar>
              <w:top w:type="dxa" w:w="60"/>
              <w:left w:type="dxa" w:w="100"/>
              <w:bottom w:type="dxa" w:w="60"/>
              <w:right w:type="dxa" w:w="100"/>
            </w:tcMar>
          </w:tcPr>
          <w:p>
            <w:r>
              <w:rPr>
                <w:b w:val="false"/>
                <w:bCs w:val="false"/>
                <w:sz w:val="18"/>
                <w:szCs w:val="18"/>
              </w:rPr>
              <w:t xml:space="preserve">4/10</w:t>
            </w:r>
          </w:p>
        </w:tc>
        <w:tc>
          <w:tcPr>
            <w:tcW w:type="dxa" w:w="5850"/>
            <w:tcMar>
              <w:top w:type="dxa" w:w="60"/>
              <w:left w:type="dxa" w:w="100"/>
              <w:bottom w:type="dxa" w:w="60"/>
              <w:right w:type="dxa" w:w="100"/>
            </w:tcMar>
          </w:tcPr>
          <w:p>
            <w:r>
              <w:rPr>
                <w:b w:val="false"/>
                <w:bCs w:val="false"/>
                <w:sz w:val="18"/>
                <w:szCs w:val="18"/>
              </w:rPr>
              <w:t xml:space="preserve">Documented ICP (10–200 employees, Seed–Series B) is not reflected in the page's own language, which skews toward "enterprise," "global brands," and "PLCs."</w:t>
            </w:r>
          </w:p>
        </w:tc>
      </w:tr>
      <w:tr>
        <w:tc>
          <w:tcPr>
            <w:tcW w:type="dxa" w:w="2400"/>
            <w:tcMar>
              <w:top w:type="dxa" w:w="60"/>
              <w:left w:type="dxa" w:w="100"/>
              <w:bottom w:type="dxa" w:w="60"/>
              <w:right w:type="dxa" w:w="100"/>
            </w:tcMar>
          </w:tcPr>
          <w:p>
            <w:r>
              <w:rPr>
                <w:b w:val="false"/>
                <w:bCs w:val="false"/>
                <w:sz w:val="18"/>
                <w:szCs w:val="18"/>
              </w:rPr>
              <w:t xml:space="preserve">Buyer relevance</w:t>
            </w:r>
          </w:p>
        </w:tc>
        <w:tc>
          <w:tcPr>
            <w:tcW w:type="dxa" w:w="1100"/>
            <w:tcMar>
              <w:top w:type="dxa" w:w="60"/>
              <w:left w:type="dxa" w:w="100"/>
              <w:bottom w:type="dxa" w:w="60"/>
              <w:right w:type="dxa" w:w="100"/>
            </w:tcMar>
          </w:tcPr>
          <w:p>
            <w:r>
              <w:rPr>
                <w:b w:val="false"/>
                <w:bCs w:val="false"/>
                <w:sz w:val="18"/>
                <w:szCs w:val="18"/>
              </w:rPr>
              <w:t xml:space="preserve">4/10</w:t>
            </w:r>
          </w:p>
        </w:tc>
        <w:tc>
          <w:tcPr>
            <w:tcW w:type="dxa" w:w="5850"/>
            <w:tcMar>
              <w:top w:type="dxa" w:w="60"/>
              <w:left w:type="dxa" w:w="100"/>
              <w:bottom w:type="dxa" w:w="60"/>
              <w:right w:type="dxa" w:w="100"/>
            </w:tcMar>
          </w:tcPr>
          <w:p>
            <w:r>
              <w:rPr>
                <w:b w:val="false"/>
                <w:bCs w:val="false"/>
                <w:sz w:val="18"/>
                <w:szCs w:val="18"/>
              </w:rPr>
              <w:t xml:space="preserve">No stated problem/trigger; no engagement model; several core buyer questions unanswered (Section 4).</w:t>
            </w:r>
          </w:p>
        </w:tc>
      </w:tr>
      <w:tr>
        <w:tc>
          <w:tcPr>
            <w:tcW w:type="dxa" w:w="2400"/>
            <w:tcMar>
              <w:top w:type="dxa" w:w="60"/>
              <w:left w:type="dxa" w:w="100"/>
              <w:bottom w:type="dxa" w:w="60"/>
              <w:right w:type="dxa" w:w="100"/>
            </w:tcMar>
          </w:tcPr>
          <w:p>
            <w:r>
              <w:rPr>
                <w:b w:val="false"/>
                <w:bCs w:val="false"/>
                <w:sz w:val="18"/>
                <w:szCs w:val="18"/>
              </w:rPr>
              <w:t xml:space="preserve">Content quality</w:t>
            </w:r>
          </w:p>
        </w:tc>
        <w:tc>
          <w:tcPr>
            <w:tcW w:type="dxa" w:w="1100"/>
            <w:tcMar>
              <w:top w:type="dxa" w:w="60"/>
              <w:left w:type="dxa" w:w="100"/>
              <w:bottom w:type="dxa" w:w="60"/>
              <w:right w:type="dxa" w:w="100"/>
            </w:tcMar>
          </w:tcPr>
          <w:p>
            <w:r>
              <w:rPr>
                <w:b w:val="false"/>
                <w:bCs w:val="false"/>
                <w:sz w:val="18"/>
                <w:szCs w:val="18"/>
              </w:rPr>
              <w:t xml:space="preserve">5/10</w:t>
            </w:r>
          </w:p>
        </w:tc>
        <w:tc>
          <w:tcPr>
            <w:tcW w:type="dxa" w:w="5850"/>
            <w:tcMar>
              <w:top w:type="dxa" w:w="60"/>
              <w:left w:type="dxa" w:w="100"/>
              <w:bottom w:type="dxa" w:w="60"/>
              <w:right w:type="dxa" w:w="100"/>
            </w:tcMar>
          </w:tcPr>
          <w:p>
            <w:r>
              <w:rPr>
                <w:b w:val="false"/>
                <w:bCs w:val="false"/>
                <w:sz w:val="18"/>
                <w:szCs w:val="18"/>
              </w:rPr>
              <w:t xml:space="preserve">Individual sections are well-written line-by-line (the AI-lifecycle section especially); the issues are what's claimed and what's missing, not writing quality.</w:t>
            </w:r>
          </w:p>
        </w:tc>
      </w:tr>
      <w:tr>
        <w:tc>
          <w:tcPr>
            <w:tcW w:type="dxa" w:w="2400"/>
            <w:tcMar>
              <w:top w:type="dxa" w:w="60"/>
              <w:left w:type="dxa" w:w="100"/>
              <w:bottom w:type="dxa" w:w="60"/>
              <w:right w:type="dxa" w:w="100"/>
            </w:tcMar>
          </w:tcPr>
          <w:p>
            <w:r>
              <w:rPr>
                <w:b w:val="false"/>
                <w:bCs w:val="false"/>
                <w:sz w:val="18"/>
                <w:szCs w:val="18"/>
              </w:rPr>
              <w:t xml:space="preserve">Differentiation</w:t>
            </w:r>
          </w:p>
        </w:tc>
        <w:tc>
          <w:tcPr>
            <w:tcW w:type="dxa" w:w="1100"/>
            <w:tcMar>
              <w:top w:type="dxa" w:w="60"/>
              <w:left w:type="dxa" w:w="100"/>
              <w:bottom w:type="dxa" w:w="60"/>
              <w:right w:type="dxa" w:w="100"/>
            </w:tcMar>
          </w:tcPr>
          <w:p>
            <w:r>
              <w:rPr>
                <w:b w:val="false"/>
                <w:bCs w:val="false"/>
                <w:sz w:val="18"/>
                <w:szCs w:val="18"/>
              </w:rPr>
              <w:t xml:space="preserve">3/10</w:t>
            </w:r>
          </w:p>
        </w:tc>
        <w:tc>
          <w:tcPr>
            <w:tcW w:type="dxa" w:w="5850"/>
            <w:tcMar>
              <w:top w:type="dxa" w:w="60"/>
              <w:left w:type="dxa" w:w="100"/>
              <w:bottom w:type="dxa" w:w="60"/>
              <w:right w:type="dxa" w:w="100"/>
            </w:tcMar>
          </w:tcPr>
          <w:p>
            <w:r>
              <w:rPr>
                <w:b w:val="false"/>
                <w:bCs w:val="false"/>
                <w:sz w:val="18"/>
                <w:szCs w:val="18"/>
              </w:rPr>
              <w:t xml:space="preserve">Structurally near-identical to three other service pages; weakest differentiation of the four.</w:t>
            </w:r>
          </w:p>
        </w:tc>
      </w:tr>
      <w:tr>
        <w:tc>
          <w:tcPr>
            <w:tcW w:type="dxa" w:w="2400"/>
            <w:tcMar>
              <w:top w:type="dxa" w:w="60"/>
              <w:left w:type="dxa" w:w="100"/>
              <w:bottom w:type="dxa" w:w="60"/>
              <w:right w:type="dxa" w:w="100"/>
            </w:tcMar>
          </w:tcPr>
          <w:p>
            <w:r>
              <w:rPr>
                <w:b w:val="false"/>
                <w:bCs w:val="false"/>
                <w:sz w:val="18"/>
                <w:szCs w:val="18"/>
              </w:rPr>
              <w:t xml:space="preserve">AI positioning</w:t>
            </w:r>
          </w:p>
        </w:tc>
        <w:tc>
          <w:tcPr>
            <w:tcW w:type="dxa" w:w="1100"/>
            <w:tcMar>
              <w:top w:type="dxa" w:w="60"/>
              <w:left w:type="dxa" w:w="100"/>
              <w:bottom w:type="dxa" w:w="60"/>
              <w:right w:type="dxa" w:w="100"/>
            </w:tcMar>
          </w:tcPr>
          <w:p>
            <w:r>
              <w:rPr>
                <w:b w:val="false"/>
                <w:bCs w:val="false"/>
                <w:sz w:val="18"/>
                <w:szCs w:val="18"/>
              </w:rPr>
              <w:t xml:space="preserve">3/10</w:t>
            </w:r>
          </w:p>
        </w:tc>
        <w:tc>
          <w:tcPr>
            <w:tcW w:type="dxa" w:w="5850"/>
            <w:tcMar>
              <w:top w:type="dxa" w:w="60"/>
              <w:left w:type="dxa" w:w="100"/>
              <w:bottom w:type="dxa" w:w="60"/>
              <w:right w:type="dxa" w:w="100"/>
            </w:tcMar>
          </w:tcPr>
          <w:p>
            <w:r>
              <w:rPr>
                <w:b w:val="false"/>
                <w:bCs w:val="false"/>
                <w:sz w:val="18"/>
                <w:szCs w:val="18"/>
              </w:rPr>
              <w:t xml:space="preserve">The audit's central finding: the page's own claims exceed what Zediant's internal policy authorizes it to claim.</w:t>
            </w:r>
          </w:p>
        </w:tc>
      </w:tr>
      <w:tr>
        <w:tc>
          <w:tcPr>
            <w:tcW w:type="dxa" w:w="2400"/>
            <w:tcMar>
              <w:top w:type="dxa" w:w="60"/>
              <w:left w:type="dxa" w:w="100"/>
              <w:bottom w:type="dxa" w:w="60"/>
              <w:right w:type="dxa" w:w="100"/>
            </w:tcMar>
          </w:tcPr>
          <w:p>
            <w:r>
              <w:rPr>
                <w:b w:val="false"/>
                <w:bCs w:val="false"/>
                <w:sz w:val="18"/>
                <w:szCs w:val="18"/>
              </w:rPr>
              <w:t xml:space="preserve">Proof / credibility</w:t>
            </w:r>
          </w:p>
        </w:tc>
        <w:tc>
          <w:tcPr>
            <w:tcW w:type="dxa" w:w="1100"/>
            <w:tcMar>
              <w:top w:type="dxa" w:w="60"/>
              <w:left w:type="dxa" w:w="100"/>
              <w:bottom w:type="dxa" w:w="60"/>
              <w:right w:type="dxa" w:w="100"/>
            </w:tcMar>
          </w:tcPr>
          <w:p>
            <w:r>
              <w:rPr>
                <w:b w:val="false"/>
                <w:bCs w:val="false"/>
                <w:sz w:val="18"/>
                <w:szCs w:val="18"/>
              </w:rPr>
              <w:t xml:space="preserve">2/10</w:t>
            </w:r>
          </w:p>
        </w:tc>
        <w:tc>
          <w:tcPr>
            <w:tcW w:type="dxa" w:w="5850"/>
            <w:tcMar>
              <w:top w:type="dxa" w:w="60"/>
              <w:left w:type="dxa" w:w="100"/>
              <w:bottom w:type="dxa" w:w="60"/>
              <w:right w:type="dxa" w:w="100"/>
            </w:tcMar>
          </w:tcPr>
          <w:p>
            <w:r>
              <w:rPr>
                <w:b w:val="false"/>
                <w:bCs w:val="false"/>
                <w:sz w:val="18"/>
                <w:szCs w:val="18"/>
              </w:rPr>
              <w:t xml:space="preserve">Zero case studies, testimonials, or logos on the page; the one section with the highest evidence bar (AI capability) has the least proof.</w:t>
            </w:r>
          </w:p>
        </w:tc>
      </w:tr>
      <w:tr>
        <w:tc>
          <w:tcPr>
            <w:tcW w:type="dxa" w:w="2400"/>
            <w:tcMar>
              <w:top w:type="dxa" w:w="60"/>
              <w:left w:type="dxa" w:w="100"/>
              <w:bottom w:type="dxa" w:w="60"/>
              <w:right w:type="dxa" w:w="100"/>
            </w:tcMar>
          </w:tcPr>
          <w:p>
            <w:r>
              <w:rPr>
                <w:b w:val="false"/>
                <w:bCs w:val="false"/>
                <w:sz w:val="18"/>
                <w:szCs w:val="18"/>
              </w:rPr>
              <w:t xml:space="preserve">Design / UX</w:t>
            </w:r>
          </w:p>
        </w:tc>
        <w:tc>
          <w:tcPr>
            <w:tcW w:type="dxa" w:w="1100"/>
            <w:tcMar>
              <w:top w:type="dxa" w:w="60"/>
              <w:left w:type="dxa" w:w="100"/>
              <w:bottom w:type="dxa" w:w="60"/>
              <w:right w:type="dxa" w:w="100"/>
            </w:tcMar>
          </w:tcPr>
          <w:p>
            <w:r>
              <w:rPr>
                <w:b w:val="false"/>
                <w:bCs w:val="false"/>
                <w:sz w:val="18"/>
                <w:szCs w:val="18"/>
              </w:rPr>
              <w:t xml:space="preserve">6/10</w:t>
            </w:r>
          </w:p>
        </w:tc>
        <w:tc>
          <w:tcPr>
            <w:tcW w:type="dxa" w:w="5850"/>
            <w:tcMar>
              <w:top w:type="dxa" w:w="60"/>
              <w:left w:type="dxa" w:w="100"/>
              <w:bottom w:type="dxa" w:w="60"/>
              <w:right w:type="dxa" w:w="100"/>
            </w:tcMar>
          </w:tcPr>
          <w:p>
            <w:r>
              <w:rPr>
                <w:b w:val="false"/>
                <w:bCs w:val="false"/>
                <w:sz w:val="18"/>
                <w:szCs w:val="18"/>
              </w:rPr>
              <w:t xml:space="preserve">Clean, consistent visual system undercut by two large, generic, off-brand decorative images occupying significant scroll length.</w:t>
            </w:r>
          </w:p>
        </w:tc>
      </w:tr>
      <w:tr>
        <w:tc>
          <w:tcPr>
            <w:tcW w:type="dxa" w:w="2400"/>
            <w:tcMar>
              <w:top w:type="dxa" w:w="60"/>
              <w:left w:type="dxa" w:w="100"/>
              <w:bottom w:type="dxa" w:w="60"/>
              <w:right w:type="dxa" w:w="100"/>
            </w:tcMar>
          </w:tcPr>
          <w:p>
            <w:r>
              <w:rPr>
                <w:b w:val="false"/>
                <w:bCs w:val="false"/>
                <w:sz w:val="18"/>
                <w:szCs w:val="18"/>
              </w:rPr>
              <w:t xml:space="preserve">Conversion / CTA</w:t>
            </w:r>
          </w:p>
        </w:tc>
        <w:tc>
          <w:tcPr>
            <w:tcW w:type="dxa" w:w="1100"/>
            <w:tcMar>
              <w:top w:type="dxa" w:w="60"/>
              <w:left w:type="dxa" w:w="100"/>
              <w:bottom w:type="dxa" w:w="60"/>
              <w:right w:type="dxa" w:w="100"/>
            </w:tcMar>
          </w:tcPr>
          <w:p>
            <w:r>
              <w:rPr>
                <w:b w:val="false"/>
                <w:bCs w:val="false"/>
                <w:sz w:val="18"/>
                <w:szCs w:val="18"/>
              </w:rPr>
              <w:t xml:space="preserve">5/10</w:t>
            </w:r>
          </w:p>
        </w:tc>
        <w:tc>
          <w:tcPr>
            <w:tcW w:type="dxa" w:w="5850"/>
            <w:tcMar>
              <w:top w:type="dxa" w:w="60"/>
              <w:left w:type="dxa" w:w="100"/>
              <w:bottom w:type="dxa" w:w="60"/>
              <w:right w:type="dxa" w:w="100"/>
            </w:tcMar>
          </w:tcPr>
          <w:p>
            <w:r>
              <w:rPr>
                <w:b w:val="false"/>
                <w:bCs w:val="false"/>
                <w:sz w:val="18"/>
                <w:szCs w:val="18"/>
              </w:rPr>
              <w:t xml:space="preserve">Individually reasonable CTAs; five competing surfaces and four different phrasings dilute reinforcement.</w:t>
            </w:r>
          </w:p>
        </w:tc>
      </w:tr>
      <w:tr>
        <w:tc>
          <w:tcPr>
            <w:tcW w:type="dxa" w:w="2400"/>
            <w:tcMar>
              <w:top w:type="dxa" w:w="60"/>
              <w:left w:type="dxa" w:w="100"/>
              <w:bottom w:type="dxa" w:w="60"/>
              <w:right w:type="dxa" w:w="100"/>
            </w:tcMar>
          </w:tcPr>
          <w:p>
            <w:r>
              <w:rPr>
                <w:b w:val="false"/>
                <w:bCs w:val="false"/>
                <w:sz w:val="18"/>
                <w:szCs w:val="18"/>
              </w:rPr>
              <w:t xml:space="preserve">SEO / search intent</w:t>
            </w:r>
          </w:p>
        </w:tc>
        <w:tc>
          <w:tcPr>
            <w:tcW w:type="dxa" w:w="1100"/>
            <w:tcMar>
              <w:top w:type="dxa" w:w="60"/>
              <w:left w:type="dxa" w:w="100"/>
              <w:bottom w:type="dxa" w:w="60"/>
              <w:right w:type="dxa" w:w="100"/>
            </w:tcMar>
          </w:tcPr>
          <w:p>
            <w:r>
              <w:rPr>
                <w:b w:val="false"/>
                <w:bCs w:val="false"/>
                <w:sz w:val="18"/>
                <w:szCs w:val="18"/>
              </w:rPr>
              <w:t xml:space="preserve">5/10</w:t>
            </w:r>
          </w:p>
        </w:tc>
        <w:tc>
          <w:tcPr>
            <w:tcW w:type="dxa" w:w="5850"/>
            <w:tcMar>
              <w:top w:type="dxa" w:w="60"/>
              <w:left w:type="dxa" w:w="100"/>
              <w:bottom w:type="dxa" w:w="60"/>
              <w:right w:type="dxa" w:w="100"/>
            </w:tcMar>
          </w:tcPr>
          <w:p>
            <w:r>
              <w:rPr>
                <w:b w:val="false"/>
                <w:bCs w:val="false"/>
                <w:sz w:val="18"/>
                <w:szCs w:val="18"/>
              </w:rPr>
              <w:t xml:space="preserve">URL and title tag are well aligned to the approved primary keyword; H1 and body content are not.</w:t>
            </w:r>
          </w:p>
        </w:tc>
      </w:tr>
      <w:tr>
        <w:tc>
          <w:tcPr>
            <w:tcW w:type="dxa" w:w="2400"/>
            <w:tcMar>
              <w:top w:type="dxa" w:w="60"/>
              <w:left w:type="dxa" w:w="100"/>
              <w:bottom w:type="dxa" w:w="60"/>
              <w:right w:type="dxa" w:w="100"/>
            </w:tcMar>
          </w:tcPr>
          <w:p>
            <w:r>
              <w:rPr>
                <w:b w:val="false"/>
                <w:bCs w:val="false"/>
                <w:sz w:val="18"/>
                <w:szCs w:val="18"/>
              </w:rPr>
              <w:t xml:space="preserve">Internal linking</w:t>
            </w:r>
          </w:p>
        </w:tc>
        <w:tc>
          <w:tcPr>
            <w:tcW w:type="dxa" w:w="1100"/>
            <w:tcMar>
              <w:top w:type="dxa" w:w="60"/>
              <w:left w:type="dxa" w:w="100"/>
              <w:bottom w:type="dxa" w:w="60"/>
              <w:right w:type="dxa" w:w="100"/>
            </w:tcMar>
          </w:tcPr>
          <w:p>
            <w:r>
              <w:rPr>
                <w:b w:val="false"/>
                <w:bCs w:val="false"/>
                <w:sz w:val="18"/>
                <w:szCs w:val="18"/>
              </w:rPr>
              <w:t xml:space="preserve">3/10</w:t>
            </w:r>
          </w:p>
        </w:tc>
        <w:tc>
          <w:tcPr>
            <w:tcW w:type="dxa" w:w="5850"/>
            <w:tcMar>
              <w:top w:type="dxa" w:w="60"/>
              <w:left w:type="dxa" w:w="100"/>
              <w:bottom w:type="dxa" w:w="60"/>
              <w:right w:type="dxa" w:w="100"/>
            </w:tcMar>
          </w:tcPr>
          <w:p>
            <w:r>
              <w:rPr>
                <w:b w:val="false"/>
                <w:bCs w:val="false"/>
                <w:sz w:val="18"/>
                <w:szCs w:val="18"/>
              </w:rPr>
              <w:t xml:space="preserve">Zero contextual links to case studies or to differentiated sibling service pages; global-nav-only linking.</w:t>
            </w:r>
          </w:p>
        </w:tc>
      </w:tr>
    </w:tbl>
    <w:p>
      <w:pPr>
        <w:spacing w:after="150"/>
      </w:pPr>
    </w:p>
    <w:p>
      <w:pPr>
        <w:spacing w:after="200"/>
      </w:pPr>
      <w:r>
        <w:rPr>
          <w:b/>
          <w:bCs/>
          <w:color w:val="B00020"/>
          <w:sz w:val="28"/>
          <w:szCs w:val="28"/>
        </w:rPr>
        <w:t xml:space="preserve">OVERALL SCORE: 4.5 / 10</w:t>
      </w:r>
    </w:p>
    <w:p>
      <w:pPr>
        <w:pStyle w:val="Heading3"/>
        <w:spacing w:after="100" w:before="200"/>
      </w:pPr>
      <w:r>
        <w:t xml:space="preserve">MOST IMPORTANT PROBLEMS</w:t>
      </w:r>
    </w:p>
    <w:p>
      <w:pPr>
        <w:pStyle w:val="ListParagraph"/>
        <w:numPr>
          <w:ilvl w:val="0"/>
          <w:numId w:val="1"/>
        </w:numPr>
        <w:spacing w:after="60"/>
      </w:pPr>
      <w:r>
        <w:t xml:space="preserve">The page's AI-capability claims (hero subhead, "AI Integration (LLMs &amp; Automation)" card, "AI-First engineering firm") exceed what Zediant's own internal policy authorizes and what any case study can currently support.</w:t>
      </w:r>
    </w:p>
    <w:p>
      <w:pPr>
        <w:pStyle w:val="ListParagraph"/>
        <w:numPr>
          <w:ilvl w:val="0"/>
          <w:numId w:val="1"/>
        </w:numPr>
        <w:spacing w:after="60"/>
      </w:pPr>
      <w:r>
        <w:t xml:space="preserve">The page is structurally and semantically near-identical to the Platform Engineering page, with no explicit differentiation offered anywhere in the copy.</w:t>
      </w:r>
    </w:p>
    <w:p>
      <w:pPr>
        <w:pStyle w:val="ListParagraph"/>
        <w:numPr>
          <w:ilvl w:val="0"/>
          <w:numId w:val="1"/>
        </w:numPr>
        <w:spacing w:after="60"/>
      </w:pPr>
      <w:r>
        <w:t xml:space="preserve">Zero proof (case studies, testimonials, logos) appears on the page, for the one service where proof matters most.</w:t>
      </w:r>
    </w:p>
    <w:p>
      <w:pPr>
        <w:pStyle w:val="ListParagraph"/>
        <w:numPr>
          <w:ilvl w:val="0"/>
          <w:numId w:val="1"/>
        </w:numPr>
        <w:spacing w:after="60"/>
      </w:pPr>
      <w:r>
        <w:t xml:space="preserve">The page does not state a buyer problem, an engagement model, or reflect its own documented ICP — it opens directly into generic capability language.</w:t>
      </w:r>
    </w:p>
    <w:p>
      <w:pPr>
        <w:pStyle w:val="ListParagraph"/>
        <w:numPr>
          <w:ilvl w:val="0"/>
          <w:numId w:val="1"/>
        </w:numPr>
        <w:spacing w:after="60"/>
      </w:pPr>
      <w:r>
        <w:t xml:space="preserve">Two large, generic AI-stock images occupy significant page real estate and visually reinforce the exact "generic AI vendor" impression the positioning findings warn against.</w:t>
      </w:r>
    </w:p>
    <w:p>
      <w:pPr>
        <w:pStyle w:val="Heading3"/>
        <w:spacing w:after="100" w:before="200"/>
      </w:pPr>
      <w:r>
        <w:t xml:space="preserve">TOP P0 RECOMMENDATIONS</w:t>
      </w:r>
    </w:p>
    <w:p>
      <w:pPr>
        <w:pStyle w:val="ListParagraph"/>
        <w:numPr>
          <w:ilvl w:val="0"/>
          <w:numId w:val="1"/>
        </w:numPr>
        <w:spacing w:after="60"/>
      </w:pPr>
      <w:r>
        <w:t xml:space="preserve">Correct the AI-capability overclaims in the hero and the "AI Integration" capability card.</w:t>
      </w:r>
    </w:p>
    <w:p>
      <w:pPr>
        <w:pStyle w:val="ListParagraph"/>
        <w:numPr>
          <w:ilvl w:val="0"/>
          <w:numId w:val="1"/>
        </w:numPr>
        <w:spacing w:after="60"/>
      </w:pPr>
      <w:r>
        <w:t xml:space="preserve">Rewrite the H1 to include "product engineering."</w:t>
      </w:r>
    </w:p>
    <w:p>
      <w:pPr>
        <w:pStyle w:val="ListParagraph"/>
        <w:numPr>
          <w:ilvl w:val="0"/>
          <w:numId w:val="1"/>
        </w:numPr>
        <w:spacing w:after="60"/>
      </w:pPr>
      <w:r>
        <w:t xml:space="preserve">Remove "Zediant is an AI-First engineering firm."</w:t>
      </w:r>
    </w:p>
    <w:p>
      <w:pPr>
        <w:pStyle w:val="ListParagraph"/>
        <w:numPr>
          <w:ilvl w:val="0"/>
          <w:numId w:val="1"/>
        </w:numPr>
        <w:spacing w:after="60"/>
      </w:pPr>
      <w:r>
        <w:t xml:space="preserve">Remove the "guarantee maximum security" and "Fort Knox" overclaims.</w:t>
      </w:r>
    </w:p>
    <w:p>
      <w:pPr>
        <w:pStyle w:val="ListParagraph"/>
        <w:numPr>
          <w:ilvl w:val="0"/>
          <w:numId w:val="1"/>
        </w:numPr>
        <w:spacing w:after="60"/>
      </w:pPr>
      <w:r>
        <w:t xml:space="preserve">Add at least one linked, appropriately-framed case study.</w:t>
      </w:r>
    </w:p>
    <w:p>
      <w:pPr>
        <w:pStyle w:val="Heading3"/>
        <w:spacing w:after="100" w:before="200"/>
      </w:pPr>
      <w:r>
        <w:t xml:space="preserve">TOP P1 RECOMMENDATIONS</w:t>
      </w:r>
    </w:p>
    <w:p>
      <w:pPr>
        <w:pStyle w:val="ListParagraph"/>
        <w:numPr>
          <w:ilvl w:val="0"/>
          <w:numId w:val="1"/>
        </w:numPr>
        <w:spacing w:after="60"/>
      </w:pPr>
      <w:r>
        <w:t xml:space="preserve">Remove the "PLCs" audience framing and fix the APAC/footprint mismatch.</w:t>
      </w:r>
    </w:p>
    <w:p>
      <w:pPr>
        <w:pStyle w:val="ListParagraph"/>
        <w:numPr>
          <w:ilvl w:val="0"/>
          <w:numId w:val="1"/>
        </w:numPr>
        <w:spacing w:after="60"/>
      </w:pPr>
      <w:r>
        <w:t xml:space="preserve">Attribute the 30–40% claim as company-reported and differentiate its framing from the other three service pages.</w:t>
      </w:r>
    </w:p>
    <w:p>
      <w:pPr>
        <w:pStyle w:val="ListParagraph"/>
        <w:numPr>
          <w:ilvl w:val="0"/>
          <w:numId w:val="1"/>
        </w:numPr>
        <w:spacing w:after="60"/>
      </w:pPr>
      <w:r>
        <w:t xml:space="preserve">Standardize CTA wording across the page.</w:t>
      </w:r>
    </w:p>
    <w:p>
      <w:pPr>
        <w:pStyle w:val="ListParagraph"/>
        <w:numPr>
          <w:ilvl w:val="0"/>
          <w:numId w:val="1"/>
        </w:numPr>
        <w:spacing w:after="60"/>
      </w:pPr>
      <w:r>
        <w:t xml:space="preserve">Shift differentiator language from "platform-first" to product-engineering-first.</w:t>
      </w:r>
    </w:p>
    <w:p>
      <w:pPr>
        <w:pStyle w:val="ListParagraph"/>
        <w:numPr>
          <w:ilvl w:val="0"/>
          <w:numId w:val="1"/>
        </w:numPr>
        <w:spacing w:after="60"/>
      </w:pPr>
      <w:r>
        <w:t xml:space="preserve">Add an engagement-model section.</w:t>
      </w:r>
    </w:p>
    <w:p>
      <w:pPr>
        <w:pStyle w:val="Heading3"/>
        <w:spacing w:after="100" w:before="200"/>
      </w:pPr>
      <w:r>
        <w:t xml:space="preserve">KEEP / DO NOT CHANGE</w:t>
      </w:r>
    </w:p>
    <w:p>
      <w:pPr>
        <w:pStyle w:val="ListParagraph"/>
        <w:numPr>
          <w:ilvl w:val="0"/>
          <w:numId w:val="1"/>
        </w:numPr>
        <w:spacing w:after="60"/>
      </w:pPr>
      <w:r>
        <w:t xml:space="preserve">The AI-assisted-delivery four-practice section and its underlying 30–40% figure (reframed, not removed).</w:t>
      </w:r>
    </w:p>
    <w:p>
      <w:pPr>
        <w:pStyle w:val="ListParagraph"/>
        <w:numPr>
          <w:ilvl w:val="0"/>
          <w:numId w:val="1"/>
        </w:numPr>
        <w:spacing w:after="60"/>
      </w:pPr>
      <w:r>
        <w:t xml:space="preserve">The closing contact form.</w:t>
      </w:r>
    </w:p>
    <w:p>
      <w:pPr>
        <w:pStyle w:val="ListParagraph"/>
        <w:numPr>
          <w:ilvl w:val="0"/>
          <w:numId w:val="1"/>
        </w:numPr>
        <w:spacing w:after="60"/>
      </w:pPr>
      <w:r>
        <w:t xml:space="preserve">This page's current SOC 2 "Aligned" wording.</w:t>
      </w:r>
    </w:p>
    <w:p>
      <w:r>
        <w:br w:type="page"/>
      </w:r>
    </w:p>
    <w:p>
      <w:pPr>
        <w:pStyle w:val="Heading1"/>
        <w:spacing w:after="200" w:before="400"/>
      </w:pPr>
      <w:r>
        <w:t xml:space="preserve">23. Recommended Future Page Structure</w:t>
      </w:r>
    </w:p>
    <w:p>
      <w:pPr>
        <w:spacing w:after="160"/>
      </w:pPr>
      <w:r>
        <w:rPr>
          <w:b w:val="false"/>
          <w:bCs w:val="false"/>
          <w:i w:val="false"/>
          <w:iCs w:val="false"/>
        </w:rPr>
        <w:t xml:space="preserve">Proposed based on this audit's findings, not assumed in advance. This is a structural proposal only — no copy is written here, per the task's instructions.</w:t>
      </w:r>
    </w:p>
    <w:p>
      <w:pPr>
        <w:pStyle w:val="Heading3"/>
        <w:spacing w:after="100" w:before="200"/>
      </w:pPr>
      <w:r>
        <w:t xml:space="preserve">1. Hero</w:t>
      </w:r>
    </w:p>
    <w:p>
      <w:pPr>
        <w:spacing w:after="90"/>
      </w:pPr>
      <w:r>
        <w:rPr>
          <w:b/>
          <w:bCs/>
        </w:rPr>
        <w:t xml:space="preserve">PURPOSE: </w:t>
      </w:r>
      <w:r>
        <w:t xml:space="preserve">State the service as product engineering accelerated by AI, for a company whose roadmap has outrun its capacity or whose platform must be rebuilt to scale.</w:t>
      </w:r>
    </w:p>
    <w:p>
      <w:pPr>
        <w:spacing w:after="90"/>
      </w:pPr>
      <w:r>
        <w:rPr>
          <w:b/>
          <w:bCs/>
        </w:rPr>
        <w:t xml:space="preserve">BUYER QUESTION ANSWERED: </w:t>
      </w:r>
      <w:r>
        <w:t xml:space="preserve">"Is this the right partner for building/scaling my product?"</w:t>
      </w:r>
    </w:p>
    <w:p>
      <w:pPr>
        <w:spacing w:after="90"/>
      </w:pPr>
      <w:r>
        <w:rPr>
          <w:b/>
          <w:bCs/>
        </w:rPr>
        <w:t xml:space="preserve">BUSINESS VALUE: </w:t>
      </w:r>
      <w:r>
        <w:t xml:space="preserve">First-impression positioning; sets accurate expectations before any AI-capability discussion.</w:t>
      </w:r>
    </w:p>
    <w:p>
      <w:pPr>
        <w:spacing w:after="90"/>
      </w:pPr>
      <w:r>
        <w:rPr>
          <w:b/>
          <w:bCs/>
        </w:rPr>
        <w:t xml:space="preserve">SEO VALUE: </w:t>
      </w:r>
      <w:r>
        <w:t xml:space="preserve">Reinforces the approved primary keyword ("AI-enabled product engineering company") directly in the H1.</w:t>
      </w:r>
    </w:p>
    <w:p>
      <w:pPr>
        <w:spacing w:after="220"/>
      </w:pPr>
      <w:r>
        <w:rPr>
          <w:b/>
          <w:bCs/>
        </w:rPr>
        <w:t xml:space="preserve">PRIORITY: </w:t>
      </w:r>
      <w:r>
        <w:rPr>
          <w:b/>
          <w:bCs/>
          <w:color w:val="C00000"/>
        </w:rPr>
        <w:t xml:space="preserve">P0</w:t>
      </w:r>
    </w:p>
    <w:p>
      <w:pPr>
        <w:pStyle w:val="Heading3"/>
        <w:spacing w:after="100" w:before="200"/>
      </w:pPr>
      <w:r>
        <w:t xml:space="preserve">2. The problem this solves (roadmap vs. headcount / rebuild-for-scale)</w:t>
      </w:r>
    </w:p>
    <w:p>
      <w:pPr>
        <w:spacing w:after="90"/>
      </w:pPr>
      <w:r>
        <w:rPr>
          <w:b/>
          <w:bCs/>
        </w:rPr>
        <w:t xml:space="preserve">PURPOSE: </w:t>
      </w:r>
      <w:r>
        <w:t xml:space="preserve">Name the buyer's actual trigger before describing capability — currently entirely absent.</w:t>
      </w:r>
    </w:p>
    <w:p>
      <w:pPr>
        <w:spacing w:after="90"/>
      </w:pPr>
      <w:r>
        <w:rPr>
          <w:b/>
          <w:bCs/>
        </w:rPr>
        <w:t xml:space="preserve">BUYER QUESTION ANSWERED: </w:t>
      </w:r>
      <w:r>
        <w:t xml:space="preserve">"Do they understand what I'm dealing with?"</w:t>
      </w:r>
    </w:p>
    <w:p>
      <w:pPr>
        <w:spacing w:after="90"/>
      </w:pPr>
      <w:r>
        <w:rPr>
          <w:b/>
          <w:bCs/>
        </w:rPr>
        <w:t xml:space="preserve">BUSINESS VALUE: </w:t>
      </w:r>
      <w:r>
        <w:t xml:space="preserve">Increases relevance and inbound-lead quality by pre-qualifying against the documented ICP.</w:t>
      </w:r>
    </w:p>
    <w:p>
      <w:pPr>
        <w:spacing w:after="90"/>
      </w:pPr>
      <w:r>
        <w:rPr>
          <w:b/>
          <w:bCs/>
        </w:rPr>
        <w:t xml:space="preserve">SEO VALUE: </w:t>
      </w:r>
      <w:r>
        <w:t xml:space="preserve">Supports long-tail, problem-oriented search intent not currently addressed anywhere on the page.</w:t>
      </w:r>
    </w:p>
    <w:p>
      <w:pPr>
        <w:spacing w:after="220"/>
      </w:pPr>
      <w:r>
        <w:rPr>
          <w:b/>
          <w:bCs/>
        </w:rPr>
        <w:t xml:space="preserve">PRIORITY: </w:t>
      </w:r>
      <w:r>
        <w:rPr>
          <w:b/>
          <w:bCs/>
          <w:color w:val="C00000"/>
        </w:rPr>
        <w:t xml:space="preserve">P0</w:t>
      </w:r>
    </w:p>
    <w:p>
      <w:pPr>
        <w:pStyle w:val="Heading3"/>
        <w:spacing w:after="100" w:before="200"/>
      </w:pPr>
      <w:r>
        <w:t xml:space="preserve">3. What Zediant provides (reframed capabilities)</w:t>
      </w:r>
    </w:p>
    <w:p>
      <w:pPr>
        <w:spacing w:after="90"/>
      </w:pPr>
      <w:r>
        <w:rPr>
          <w:b/>
          <w:bCs/>
        </w:rPr>
        <w:t xml:space="preserve">PURPOSE: </w:t>
      </w:r>
      <w:r>
        <w:t xml:space="preserve">Restate the existing four capability areas with product-engineering framing rather than platform-first framing.</w:t>
      </w:r>
    </w:p>
    <w:p>
      <w:pPr>
        <w:spacing w:after="90"/>
      </w:pPr>
      <w:r>
        <w:rPr>
          <w:b/>
          <w:bCs/>
        </w:rPr>
        <w:t xml:space="preserve">BUYER QUESTION ANSWERED: </w:t>
      </w:r>
      <w:r>
        <w:t xml:space="preserve">"What exactly would Zediant do for me?"</w:t>
      </w:r>
    </w:p>
    <w:p>
      <w:pPr>
        <w:spacing w:after="90"/>
      </w:pPr>
      <w:r>
        <w:rPr>
          <w:b/>
          <w:bCs/>
        </w:rPr>
        <w:t xml:space="preserve">BUSINESS VALUE: </w:t>
      </w:r>
      <w:r>
        <w:t xml:space="preserve">Reduces overlap/confusion with Platform Engineering.</w:t>
      </w:r>
    </w:p>
    <w:p>
      <w:pPr>
        <w:spacing w:after="90"/>
      </w:pPr>
      <w:r>
        <w:rPr>
          <w:b/>
          <w:bCs/>
        </w:rPr>
        <w:t xml:space="preserve">SEO VALUE: </w:t>
      </w:r>
      <w:r>
        <w:t xml:space="preserve">Retains SaaS platform development, multi-tenant architecture, API-first terms.</w:t>
      </w:r>
    </w:p>
    <w:p>
      <w:pPr>
        <w:spacing w:after="220"/>
      </w:pPr>
      <w:r>
        <w:rPr>
          <w:b/>
          <w:bCs/>
        </w:rPr>
        <w:t xml:space="preserve">PRIORITY: </w:t>
      </w:r>
      <w:r>
        <w:rPr>
          <w:b/>
          <w:bCs/>
          <w:color w:val="C00000"/>
        </w:rPr>
        <w:t xml:space="preserve">P0</w:t>
      </w:r>
    </w:p>
    <w:p>
      <w:pPr>
        <w:pStyle w:val="Heading3"/>
        <w:spacing w:after="100" w:before="200"/>
      </w:pPr>
      <w:r>
        <w:t xml:space="preserve">4. AI-assisted delivery lifecycle</w:t>
      </w:r>
    </w:p>
    <w:p>
      <w:pPr>
        <w:spacing w:after="90"/>
      </w:pPr>
      <w:r>
        <w:rPr>
          <w:b/>
          <w:bCs/>
        </w:rPr>
        <w:t xml:space="preserve">PURPOSE: </w:t>
      </w:r>
      <w:r>
        <w:t xml:space="preserve">Keep the existing, best-performing section (four named AI-assisted practices) largely as-is, reframed with attributed stat.</w:t>
      </w:r>
    </w:p>
    <w:p>
      <w:pPr>
        <w:spacing w:after="90"/>
      </w:pPr>
      <w:r>
        <w:rPr>
          <w:b/>
          <w:bCs/>
        </w:rPr>
        <w:t xml:space="preserve">BUYER QUESTION ANSWERED: </w:t>
      </w:r>
      <w:r>
        <w:t xml:space="preserve">"How does AI actually make this faster, and can I trust the number?"</w:t>
      </w:r>
    </w:p>
    <w:p>
      <w:pPr>
        <w:spacing w:after="90"/>
      </w:pPr>
      <w:r>
        <w:rPr>
          <w:b/>
          <w:bCs/>
        </w:rPr>
        <w:t xml:space="preserve">BUSINESS VALUE: </w:t>
      </w:r>
      <w:r>
        <w:t xml:space="preserve">Retains the page's strongest, most concrete content.</w:t>
      </w:r>
    </w:p>
    <w:p>
      <w:pPr>
        <w:spacing w:after="90"/>
      </w:pPr>
      <w:r>
        <w:rPr>
          <w:b/>
          <w:bCs/>
        </w:rPr>
        <w:t xml:space="preserve">SEO VALUE: </w:t>
      </w:r>
      <w:r>
        <w:t xml:space="preserve">Retains "40% faster delivery" as a strong on-page hook, correctly attributed.</w:t>
      </w:r>
    </w:p>
    <w:p>
      <w:pPr>
        <w:spacing w:after="220"/>
      </w:pPr>
      <w:r>
        <w:rPr>
          <w:b/>
          <w:bCs/>
        </w:rPr>
        <w:t xml:space="preserve">PRIORITY: </w:t>
      </w:r>
      <w:r>
        <w:rPr>
          <w:b/>
          <w:bCs/>
          <w:color w:val="C55A11"/>
        </w:rPr>
        <w:t xml:space="preserve">P1</w:t>
      </w:r>
    </w:p>
    <w:p>
      <w:pPr>
        <w:pStyle w:val="Heading3"/>
        <w:spacing w:after="100" w:before="200"/>
      </w:pPr>
      <w:r>
        <w:t xml:space="preserve">5. Engagement model</w:t>
      </w:r>
    </w:p>
    <w:p>
      <w:pPr>
        <w:spacing w:after="90"/>
      </w:pPr>
      <w:r>
        <w:rPr>
          <w:b/>
          <w:bCs/>
        </w:rPr>
        <w:t xml:space="preserve">PURPOSE: </w:t>
      </w:r>
      <w:r>
        <w:t xml:space="preserve">New section — describe how an engagement typically starts and is staffed, without necessarily copying Dedicated Engineering's exact tiers.</w:t>
      </w:r>
    </w:p>
    <w:p>
      <w:pPr>
        <w:spacing w:after="90"/>
      </w:pPr>
      <w:r>
        <w:rPr>
          <w:b/>
          <w:bCs/>
        </w:rPr>
        <w:t xml:space="preserve">BUYER QUESTION ANSWERED: </w:t>
      </w:r>
      <w:r>
        <w:t xml:space="preserve">"What does working together actually look like?"</w:t>
      </w:r>
    </w:p>
    <w:p>
      <w:pPr>
        <w:spacing w:after="90"/>
      </w:pPr>
      <w:r>
        <w:rPr>
          <w:b/>
          <w:bCs/>
        </w:rPr>
        <w:t xml:space="preserve">BUSINESS VALUE: </w:t>
      </w:r>
      <w:r>
        <w:t xml:space="preserve">Closes a real, currently-unanswered buyer question; supports higher-intent conversion.</w:t>
      </w:r>
    </w:p>
    <w:p>
      <w:pPr>
        <w:spacing w:after="90"/>
      </w:pPr>
      <w:r>
        <w:rPr>
          <w:b/>
          <w:bCs/>
        </w:rPr>
        <w:t xml:space="preserve">SEO VALUE: </w:t>
      </w:r>
      <w:r>
        <w:t xml:space="preserve">Neutral direct SEO value; strong on-page engagement value.</w:t>
      </w:r>
    </w:p>
    <w:p>
      <w:pPr>
        <w:spacing w:after="220"/>
      </w:pPr>
      <w:r>
        <w:rPr>
          <w:b/>
          <w:bCs/>
        </w:rPr>
        <w:t xml:space="preserve">PRIORITY: </w:t>
      </w:r>
      <w:r>
        <w:rPr>
          <w:b/>
          <w:bCs/>
          <w:color w:val="C55A11"/>
        </w:rPr>
        <w:t xml:space="preserve">P1</w:t>
      </w:r>
    </w:p>
    <w:p>
      <w:pPr>
        <w:pStyle w:val="Heading3"/>
        <w:spacing w:after="100" w:before="200"/>
      </w:pPr>
      <w:r>
        <w:t xml:space="preserve">6. Case study spotlight</w:t>
      </w:r>
    </w:p>
    <w:p>
      <w:pPr>
        <w:spacing w:after="90"/>
      </w:pPr>
      <w:r>
        <w:rPr>
          <w:b/>
          <w:bCs/>
        </w:rPr>
        <w:t xml:space="preserve">PURPOSE: </w:t>
      </w:r>
      <w:r>
        <w:t xml:space="preserve">New — one linked, appropriately-framed case study (Section 11 candidates).</w:t>
      </w:r>
    </w:p>
    <w:p>
      <w:pPr>
        <w:spacing w:after="90"/>
      </w:pPr>
      <w:r>
        <w:rPr>
          <w:b/>
          <w:bCs/>
        </w:rPr>
        <w:t xml:space="preserve">BUYER QUESTION ANSWERED: </w:t>
      </w:r>
      <w:r>
        <w:t xml:space="preserve">"Has Zediant actually done this before?"</w:t>
      </w:r>
    </w:p>
    <w:p>
      <w:pPr>
        <w:spacing w:after="90"/>
      </w:pPr>
      <w:r>
        <w:rPr>
          <w:b/>
          <w:bCs/>
        </w:rPr>
        <w:t xml:space="preserve">BUSINESS VALUE: </w:t>
      </w:r>
      <w:r>
        <w:t xml:space="preserve">Directly addresses the page's single largest credibility gap.</w:t>
      </w:r>
    </w:p>
    <w:p>
      <w:pPr>
        <w:spacing w:after="90"/>
      </w:pPr>
      <w:r>
        <w:rPr>
          <w:b/>
          <w:bCs/>
        </w:rPr>
        <w:t xml:space="preserve">SEO VALUE: </w:t>
      </w:r>
      <w:r>
        <w:t xml:space="preserve">Supports internal linking and topical depth.</w:t>
      </w:r>
    </w:p>
    <w:p>
      <w:pPr>
        <w:spacing w:after="220"/>
      </w:pPr>
      <w:r>
        <w:rPr>
          <w:b/>
          <w:bCs/>
        </w:rPr>
        <w:t xml:space="preserve">PRIORITY: </w:t>
      </w:r>
      <w:r>
        <w:rPr>
          <w:b/>
          <w:bCs/>
          <w:color w:val="C00000"/>
        </w:rPr>
        <w:t xml:space="preserve">P0</w:t>
      </w:r>
    </w:p>
    <w:p>
      <w:pPr>
        <w:pStyle w:val="Heading3"/>
        <w:spacing w:after="100" w:before="200"/>
      </w:pPr>
      <w:r>
        <w:t xml:space="preserve">7. Industry relevance (corrected)</w:t>
      </w:r>
    </w:p>
    <w:p>
      <w:pPr>
        <w:spacing w:after="90"/>
      </w:pPr>
      <w:r>
        <w:rPr>
          <w:b/>
          <w:bCs/>
        </w:rPr>
        <w:t xml:space="preserve">PURPOSE: </w:t>
      </w:r>
      <w:r>
        <w:t xml:space="preserve">Retain the existing vertical grid, with the "PLCs" framing removed and the APAC/footprint description corrected.</w:t>
      </w:r>
    </w:p>
    <w:p>
      <w:pPr>
        <w:spacing w:after="90"/>
      </w:pPr>
      <w:r>
        <w:rPr>
          <w:b/>
          <w:bCs/>
        </w:rPr>
        <w:t xml:space="preserve">BUYER QUESTION ANSWERED: </w:t>
      </w:r>
      <w:r>
        <w:t xml:space="preserve">"Do they understand my industry?"</w:t>
      </w:r>
    </w:p>
    <w:p>
      <w:pPr>
        <w:spacing w:after="90"/>
      </w:pPr>
      <w:r>
        <w:rPr>
          <w:b/>
          <w:bCs/>
        </w:rPr>
        <w:t xml:space="preserve">BUSINESS VALUE: </w:t>
      </w:r>
      <w:r>
        <w:t xml:space="preserve">Restores alignment with the documented ICP.</w:t>
      </w:r>
    </w:p>
    <w:p>
      <w:pPr>
        <w:spacing w:after="90"/>
      </w:pPr>
      <w:r>
        <w:rPr>
          <w:b/>
          <w:bCs/>
        </w:rPr>
        <w:t xml:space="preserve">SEO VALUE: </w:t>
      </w:r>
      <w:r>
        <w:t xml:space="preserve">Retains vertical-specific secondary keyword coverage.</w:t>
      </w:r>
    </w:p>
    <w:p>
      <w:pPr>
        <w:spacing w:after="220"/>
      </w:pPr>
      <w:r>
        <w:rPr>
          <w:b/>
          <w:bCs/>
        </w:rPr>
        <w:t xml:space="preserve">PRIORITY: </w:t>
      </w:r>
      <w:r>
        <w:rPr>
          <w:b/>
          <w:bCs/>
          <w:color w:val="C55A11"/>
        </w:rPr>
        <w:t xml:space="preserve">P1</w:t>
      </w:r>
    </w:p>
    <w:p>
      <w:pPr>
        <w:pStyle w:val="Heading3"/>
        <w:spacing w:after="100" w:before="200"/>
      </w:pPr>
      <w:r>
        <w:t xml:space="preserve">8. Security &amp; trust</w:t>
      </w:r>
    </w:p>
    <w:p>
      <w:pPr>
        <w:spacing w:after="90"/>
      </w:pPr>
      <w:r>
        <w:rPr>
          <w:b/>
          <w:bCs/>
        </w:rPr>
        <w:t xml:space="preserve">PURPOSE: </w:t>
      </w:r>
      <w:r>
        <w:t xml:space="preserve">Retain the existing six-pillar structure with the two overclaim phrases removed.</w:t>
      </w:r>
    </w:p>
    <w:p>
      <w:pPr>
        <w:spacing w:after="90"/>
      </w:pPr>
      <w:r>
        <w:rPr>
          <w:b/>
          <w:bCs/>
        </w:rPr>
        <w:t xml:space="preserve">BUYER QUESTION ANSWERED: </w:t>
      </w:r>
      <w:r>
        <w:t xml:space="preserve">"Can I trust them with my systems and data?"</w:t>
      </w:r>
    </w:p>
    <w:p>
      <w:pPr>
        <w:spacing w:after="90"/>
      </w:pPr>
      <w:r>
        <w:rPr>
          <w:b/>
          <w:bCs/>
        </w:rPr>
        <w:t xml:space="preserve">BUSINESS VALUE: </w:t>
      </w:r>
      <w:r>
        <w:t xml:space="preserve">Preserves genuine, correctly-worded SOC 2 trust content while removing statements that would fail a sophisticated buyer's scrutiny.</w:t>
      </w:r>
    </w:p>
    <w:p>
      <w:pPr>
        <w:spacing w:after="90"/>
      </w:pPr>
      <w:r>
        <w:rPr>
          <w:b/>
          <w:bCs/>
        </w:rPr>
        <w:t xml:space="preserve">SEO VALUE: </w:t>
      </w:r>
      <w:r>
        <w:t xml:space="preserve">SOC 2/security terms remain valuable secondary keywords.</w:t>
      </w:r>
    </w:p>
    <w:p>
      <w:pPr>
        <w:spacing w:after="220"/>
      </w:pPr>
      <w:r>
        <w:rPr>
          <w:b/>
          <w:bCs/>
        </w:rPr>
        <w:t xml:space="preserve">PRIORITY: </w:t>
      </w:r>
      <w:r>
        <w:rPr>
          <w:b/>
          <w:bCs/>
          <w:color w:val="C00000"/>
        </w:rPr>
        <w:t xml:space="preserve">P0</w:t>
      </w:r>
    </w:p>
    <w:p>
      <w:pPr>
        <w:pStyle w:val="Heading3"/>
        <w:spacing w:after="100" w:before="200"/>
      </w:pPr>
      <w:r>
        <w:t xml:space="preserve">9. Global presence</w:t>
      </w:r>
    </w:p>
    <w:p>
      <w:pPr>
        <w:spacing w:after="90"/>
      </w:pPr>
      <w:r>
        <w:rPr>
          <w:b/>
          <w:bCs/>
        </w:rPr>
        <w:t xml:space="preserve">PURPOSE: </w:t>
      </w:r>
      <w:r>
        <w:t xml:space="preserve">Retain as-is — no changes recommended.</w:t>
      </w:r>
    </w:p>
    <w:p>
      <w:pPr>
        <w:spacing w:after="90"/>
      </w:pPr>
      <w:r>
        <w:rPr>
          <w:b/>
          <w:bCs/>
        </w:rPr>
        <w:t xml:space="preserve">BUYER QUESTION ANSWERED: </w:t>
      </w:r>
      <w:r>
        <w:t xml:space="preserve">"Where is my team, and how do we collaborate across time zones?"</w:t>
      </w:r>
    </w:p>
    <w:p>
      <w:pPr>
        <w:spacing w:after="90"/>
      </w:pPr>
      <w:r>
        <w:rPr>
          <w:b/>
          <w:bCs/>
        </w:rPr>
        <w:t xml:space="preserve">BUSINESS VALUE: </w:t>
      </w:r>
      <w:r>
        <w:t xml:space="preserve">Low-risk, factual trust content.</w:t>
      </w:r>
    </w:p>
    <w:p>
      <w:pPr>
        <w:spacing w:after="90"/>
      </w:pPr>
      <w:r>
        <w:rPr>
          <w:b/>
          <w:bCs/>
        </w:rPr>
        <w:t xml:space="preserve">SEO VALUE: </w:t>
      </w:r>
      <w:r>
        <w:t xml:space="preserve">Neutral.</w:t>
      </w:r>
    </w:p>
    <w:p>
      <w:pPr>
        <w:spacing w:after="220"/>
      </w:pPr>
      <w:r>
        <w:rPr>
          <w:b/>
          <w:bCs/>
        </w:rPr>
        <w:t xml:space="preserve">PRIORITY: </w:t>
      </w:r>
      <w:r>
        <w:rPr>
          <w:b/>
          <w:bCs/>
          <w:color w:val="7F7F7F"/>
        </w:rPr>
        <w:t xml:space="preserve">KEEP</w:t>
      </w:r>
    </w:p>
    <w:p>
      <w:pPr>
        <w:pStyle w:val="Heading3"/>
        <w:spacing w:after="100" w:before="200"/>
      </w:pPr>
      <w:r>
        <w:t xml:space="preserve">10. FAQ (new)</w:t>
      </w:r>
    </w:p>
    <w:p>
      <w:pPr>
        <w:spacing w:after="90"/>
      </w:pPr>
      <w:r>
        <w:rPr>
          <w:b/>
          <w:bCs/>
        </w:rPr>
        <w:t xml:space="preserve">PURPOSE: </w:t>
      </w:r>
      <w:r>
        <w:t xml:space="preserve">Address the AI-scoping question directly and explicitly, plus 2–3 other recurring buyer questions.</w:t>
      </w:r>
    </w:p>
    <w:p>
      <w:pPr>
        <w:spacing w:after="90"/>
      </w:pPr>
      <w:r>
        <w:rPr>
          <w:b/>
          <w:bCs/>
        </w:rPr>
        <w:t xml:space="preserve">BUYER QUESTION ANSWERED: </w:t>
      </w:r>
      <w:r>
        <w:t xml:space="preserve">"Will you build AI features into my product, or just build my product faster using AI?" and similar.</w:t>
      </w:r>
    </w:p>
    <w:p>
      <w:pPr>
        <w:spacing w:after="90"/>
      </w:pPr>
      <w:r>
        <w:rPr>
          <w:b/>
          <w:bCs/>
        </w:rPr>
        <w:t xml:space="preserve">BUSINESS VALUE: </w:t>
      </w:r>
      <w:r>
        <w:t xml:space="preserve">Pre-empts the sales team's most common qualifying question; reduces mismatched inbound leads.</w:t>
      </w:r>
    </w:p>
    <w:p>
      <w:pPr>
        <w:spacing w:after="90"/>
      </w:pPr>
      <w:r>
        <w:rPr>
          <w:b/>
          <w:bCs/>
        </w:rPr>
        <w:t xml:space="preserve">SEO VALUE: </w:t>
      </w:r>
      <w:r>
        <w:t xml:space="preserve">FAQ-schema-eligible long-tail coverage.</w:t>
      </w:r>
    </w:p>
    <w:p>
      <w:pPr>
        <w:spacing w:after="220"/>
      </w:pPr>
      <w:r>
        <w:rPr>
          <w:b/>
          <w:bCs/>
        </w:rPr>
        <w:t xml:space="preserve">PRIORITY: </w:t>
      </w:r>
      <w:r>
        <w:rPr>
          <w:b/>
          <w:bCs/>
          <w:color w:val="C55A11"/>
        </w:rPr>
        <w:t xml:space="preserve">P1</w:t>
      </w:r>
    </w:p>
    <w:p>
      <w:pPr>
        <w:pStyle w:val="Heading3"/>
        <w:spacing w:after="100" w:before="200"/>
      </w:pPr>
      <w:r>
        <w:t xml:space="preserve">11. CTA / contact form</w:t>
      </w:r>
    </w:p>
    <w:p>
      <w:pPr>
        <w:spacing w:after="90"/>
      </w:pPr>
      <w:r>
        <w:rPr>
          <w:b/>
          <w:bCs/>
        </w:rPr>
        <w:t xml:space="preserve">PURPOSE: </w:t>
      </w:r>
      <w:r>
        <w:t xml:space="preserve">Retain the existing form; standardize the CTA wording used to reach it earlier on the page.</w:t>
      </w:r>
    </w:p>
    <w:p>
      <w:pPr>
        <w:spacing w:after="90"/>
      </w:pPr>
      <w:r>
        <w:rPr>
          <w:b/>
          <w:bCs/>
        </w:rPr>
        <w:t xml:space="preserve">BUYER QUESTION ANSWERED: </w:t>
      </w:r>
      <w:r>
        <w:t xml:space="preserve">"What do I do next?"</w:t>
      </w:r>
    </w:p>
    <w:p>
      <w:pPr>
        <w:spacing w:after="90"/>
      </w:pPr>
      <w:r>
        <w:rPr>
          <w:b/>
          <w:bCs/>
        </w:rPr>
        <w:t xml:space="preserve">BUSINESS VALUE: </w:t>
      </w:r>
      <w:r>
        <w:t xml:space="preserve">Retains a genuinely well-designed conversion mechanism.</w:t>
      </w:r>
    </w:p>
    <w:p>
      <w:pPr>
        <w:spacing w:after="90"/>
      </w:pPr>
      <w:r>
        <w:rPr>
          <w:b/>
          <w:bCs/>
        </w:rPr>
        <w:t xml:space="preserve">SEO VALUE: </w:t>
      </w:r>
      <w:r>
        <w:t xml:space="preserve">Neutral.</w:t>
      </w:r>
    </w:p>
    <w:p>
      <w:pPr>
        <w:spacing w:after="220"/>
      </w:pPr>
      <w:r>
        <w:rPr>
          <w:b/>
          <w:bCs/>
        </w:rPr>
        <w:t xml:space="preserve">PRIORITY: </w:t>
      </w:r>
      <w:r>
        <w:rPr>
          <w:b/>
          <w:bCs/>
          <w:color w:val="C55A11"/>
        </w:rPr>
        <w:t xml:space="preserve">P1</w:t>
      </w:r>
    </w:p>
    <w:p>
      <w:pPr>
        <w:pBdr>
          <w:bottom w:val="single" w:color="BFBFBF" w:sz="6" w:space="1"/>
        </w:pBdr>
        <w:spacing w:after="200"/>
      </w:pPr>
    </w:p>
    <w:p>
      <w:pPr>
        <w:spacing w:after="100"/>
      </w:pPr>
      <w:r>
        <w:rPr>
          <w:i/>
          <w:iCs/>
          <w:color w:val="595959"/>
        </w:rPr>
        <w:t xml:space="preserve">This audit makes no code, content, or design changes. All recommendations above require human approval before implementation, consistent with the task's instructions.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9C9C"/>
        <w:sz w:val="16"/>
        <w:szCs w:val="16"/>
      </w:rPr>
      <w:t xml:space="preserve">Page </w:t>
    </w:r>
    <w:r>
      <w:rPr>
        <w:color w:val="9C9C9C"/>
        <w:sz w:val="16"/>
        <w:szCs w:val="16"/>
      </w:rPr>
      <w:fldChar w:fldCharType="begin"/>
      <w:instrText xml:space="preserve">PAGE</w:instrText>
      <w:fldChar w:fldCharType="separate"/>
      <w:fldChar w:fldCharType="end"/>
    </w:r>
    <w:r>
      <w:rPr>
        <w:color w:val="9C9C9C"/>
        <w:sz w:val="16"/>
        <w:szCs w:val="16"/>
      </w:rPr>
      <w:t xml:space="preserve"> of </w:t>
    </w:r>
    <w:r>
      <w:rPr>
        <w:color w:val="9C9C9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9C9C"/>
        <w:sz w:val="16"/>
        <w:szCs w:val="16"/>
      </w:rPr>
      <w:t xml:space="preserve">Zediant — AI-Enabled Product Engineering Page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44"/>
      <w:szCs w:val="44"/>
    </w:rPr>
  </w:style>
  <w:style w:type="paragraph" w:styleId="Heading1">
    <w:name w:val="Heading 1"/>
    <w:basedOn w:val="Normal"/>
    <w:next w:val="Normal"/>
    <w:qFormat/>
    <w:pPr>
      <w:pBdr>
        <w:bottom w:val="single" w:color="0B7DC4" w:sz="6"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60"/>
    </w:pPr>
    <w:rPr>
      <w:rFonts w:ascii="Calibri" w:cs="Calibri" w:eastAsia="Calibri" w:hAnsi="Calibri"/>
      <w:b/>
      <w:bCs/>
      <w:color w:val="0B7DC4"/>
      <w:sz w:val="25"/>
      <w:szCs w:val="25"/>
    </w:rPr>
  </w:style>
  <w:style w:type="paragraph" w:styleId="Heading3">
    <w:name w:val="Heading 3"/>
    <w:basedOn w:val="Normal"/>
    <w:next w:val="Normal"/>
    <w:qFormat/>
    <w:pPr>
      <w:spacing w:after="100" w:before="200"/>
    </w:pPr>
    <w:rPr>
      <w:rFonts w:ascii="Calibri" w:cs="Calibri" w:eastAsia="Calibri" w:hAnsi="Calibri"/>
      <w:b/>
      <w:bCs/>
      <w:color w:val="20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2026-08-29T02:31:17.630Z</dcterms:created>
  <dcterms:modified xsi:type="dcterms:W3CDTF">2026-08-29T02:31:17.631Z</dcterms:modified>
</cp:coreProperties>
</file>

<file path=docProps/custom.xml><?xml version="1.0" encoding="utf-8"?>
<Properties xmlns="http://schemas.openxmlformats.org/officeDocument/2006/custom-properties" xmlns:vt="http://schemas.openxmlformats.org/officeDocument/2006/docPropsVTypes"/>
</file>