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6EC565" w14:textId="77777777" w:rsidR="0079077B" w:rsidRDefault="00000000">
      <w:pPr>
        <w:pStyle w:val="Title"/>
        <w:jc w:val="center"/>
      </w:pPr>
      <w:r>
        <w:t>DISCIPLINARY POLICY AND PROCEDURE</w:t>
      </w:r>
    </w:p>
    <w:tbl>
      <w:tblPr>
        <w:tblStyle w:val="TableGrid"/>
        <w:tblW w:w="0" w:type="auto"/>
        <w:tblLook w:val="04A0" w:firstRow="1" w:lastRow="0" w:firstColumn="1" w:lastColumn="0" w:noHBand="0" w:noVBand="1"/>
      </w:tblPr>
      <w:tblGrid>
        <w:gridCol w:w="5128"/>
        <w:gridCol w:w="5128"/>
      </w:tblGrid>
      <w:tr w:rsidR="0079077B" w14:paraId="107B1E1F" w14:textId="77777777">
        <w:tc>
          <w:tcPr>
            <w:tcW w:w="5128" w:type="dxa"/>
          </w:tcPr>
          <w:p w14:paraId="73978CA1" w14:textId="77777777" w:rsidR="000E36A5" w:rsidRDefault="00000000">
            <w:r>
              <w:rPr>
                <w:sz w:val="18"/>
              </w:rPr>
              <w:t>Policy Document ID</w:t>
            </w:r>
          </w:p>
        </w:tc>
        <w:tc>
          <w:tcPr>
            <w:tcW w:w="5128" w:type="dxa"/>
          </w:tcPr>
          <w:p w14:paraId="17FAEDA2" w14:textId="77777777" w:rsidR="000E36A5" w:rsidRDefault="00000000">
            <w:r>
              <w:rPr>
                <w:sz w:val="18"/>
              </w:rPr>
              <w:t>ZED-POL-01</w:t>
            </w:r>
          </w:p>
        </w:tc>
      </w:tr>
      <w:tr w:rsidR="0079077B" w14:paraId="08D75971" w14:textId="77777777">
        <w:tc>
          <w:tcPr>
            <w:tcW w:w="5128" w:type="dxa"/>
          </w:tcPr>
          <w:p w14:paraId="5E3F3C90" w14:textId="77777777" w:rsidR="000E36A5" w:rsidRDefault="00000000">
            <w:r>
              <w:rPr>
                <w:sz w:val="18"/>
              </w:rPr>
              <w:t>Document Version</w:t>
            </w:r>
          </w:p>
        </w:tc>
        <w:tc>
          <w:tcPr>
            <w:tcW w:w="5128" w:type="dxa"/>
          </w:tcPr>
          <w:p w14:paraId="3B034E15" w14:textId="77777777" w:rsidR="000E36A5" w:rsidRDefault="00000000">
            <w:r>
              <w:rPr>
                <w:sz w:val="18"/>
              </w:rPr>
              <w:t>v2.0 (Renewal 2025–2026)</w:t>
            </w:r>
          </w:p>
        </w:tc>
      </w:tr>
      <w:tr w:rsidR="000E36A5" w14:paraId="7DDC41B0" w14:textId="77777777">
        <w:tc>
          <w:tcPr>
            <w:tcW w:w="5128" w:type="dxa"/>
          </w:tcPr>
          <w:p w14:paraId="488F0769" w14:textId="77777777" w:rsidR="000E36A5" w:rsidRDefault="00000000">
            <w:r>
              <w:rPr>
                <w:sz w:val="18"/>
              </w:rPr>
              <w:t>Last Review Date</w:t>
            </w:r>
          </w:p>
        </w:tc>
        <w:tc>
          <w:tcPr>
            <w:tcW w:w="5128" w:type="dxa"/>
          </w:tcPr>
          <w:p w14:paraId="321C2C4D" w14:textId="77777777" w:rsidR="000E36A5" w:rsidRPr="0055746D" w:rsidRDefault="00000000">
            <w:pPr>
              <w:rPr>
                <w:sz w:val="18"/>
                <w:szCs w:val="18"/>
              </w:rPr>
            </w:pPr>
            <w:r w:rsidRPr="0055746D">
              <w:rPr>
                <w:sz w:val="18"/>
                <w:szCs w:val="18"/>
              </w:rPr>
              <w:t>October 1, 2025</w:t>
            </w:r>
          </w:p>
        </w:tc>
      </w:tr>
      <w:tr w:rsidR="000E36A5" w14:paraId="00EFA928" w14:textId="77777777">
        <w:tc>
          <w:tcPr>
            <w:tcW w:w="5128" w:type="dxa"/>
          </w:tcPr>
          <w:p w14:paraId="05D0F43A" w14:textId="77777777" w:rsidR="000E36A5" w:rsidRDefault="00000000">
            <w:r>
              <w:rPr>
                <w:sz w:val="18"/>
              </w:rPr>
              <w:t>Approval Authority / Status</w:t>
            </w:r>
          </w:p>
        </w:tc>
        <w:tc>
          <w:tcPr>
            <w:tcW w:w="5128" w:type="dxa"/>
          </w:tcPr>
          <w:p w14:paraId="3C360F24" w14:textId="77777777" w:rsidR="000E36A5" w:rsidRDefault="00000000">
            <w:r>
              <w:rPr>
                <w:sz w:val="18"/>
              </w:rPr>
              <w:t>Chief Information Security Officer (CISO) &amp; Management; authorized approval to be recorded</w:t>
            </w:r>
          </w:p>
        </w:tc>
      </w:tr>
      <w:tr w:rsidR="000E36A5" w14:paraId="44ABB0F7" w14:textId="77777777">
        <w:tc>
          <w:tcPr>
            <w:tcW w:w="5128" w:type="dxa"/>
          </w:tcPr>
          <w:p w14:paraId="0539052E" w14:textId="77777777" w:rsidR="000E36A5" w:rsidRDefault="00000000">
            <w:r>
              <w:rPr>
                <w:sz w:val="18"/>
              </w:rPr>
              <w:t>Classification</w:t>
            </w:r>
          </w:p>
        </w:tc>
        <w:tc>
          <w:tcPr>
            <w:tcW w:w="5128" w:type="dxa"/>
          </w:tcPr>
          <w:p w14:paraId="7788582D" w14:textId="77777777" w:rsidR="000E36A5" w:rsidRDefault="00000000">
            <w:r>
              <w:rPr>
                <w:sz w:val="18"/>
              </w:rPr>
              <w:t>Confidential – Internal &amp; Authorized Auditor Access Only</w:t>
            </w:r>
          </w:p>
        </w:tc>
      </w:tr>
    </w:tbl>
    <w:p w14:paraId="09B0BCA4" w14:textId="77777777" w:rsidR="0079077B" w:rsidRDefault="00000000">
      <w:pPr>
        <w:pStyle w:val="Heading1"/>
      </w:pPr>
      <w:r>
        <w:t>1. Purpose</w:t>
      </w:r>
    </w:p>
    <w:p w14:paraId="5C4188F0" w14:textId="77777777" w:rsidR="0079077B" w:rsidRDefault="00000000">
      <w:r>
        <w:t>This policy establishes a fair, consistent, confidential process for addressing alleged misconduct, policy violations, and serious performance concerns. It does not replace applicable employment requirements or individual contractual terms.</w:t>
      </w:r>
    </w:p>
    <w:p w14:paraId="592F4337" w14:textId="77777777" w:rsidR="0079077B" w:rsidRDefault="00000000">
      <w:pPr>
        <w:pStyle w:val="Heading1"/>
      </w:pPr>
      <w:r>
        <w:t>2. Scope</w:t>
      </w:r>
    </w:p>
    <w:p w14:paraId="053281A1" w14:textId="77777777" w:rsidR="0079077B" w:rsidRDefault="00000000">
      <w:r>
        <w:t>Applies to employees and, where contractually applicable, contractors and other personnel acting for Zediant. Each case must be handled by authorized personnel with a need to know.</w:t>
      </w:r>
    </w:p>
    <w:p w14:paraId="7DA3BF7F" w14:textId="77777777" w:rsidR="0079077B" w:rsidRDefault="00000000">
      <w:pPr>
        <w:pStyle w:val="Heading1"/>
      </w:pPr>
      <w:r>
        <w:t>3. Principles and procedure</w:t>
      </w:r>
    </w:p>
    <w:p w14:paraId="0DF66C51" w14:textId="77777777" w:rsidR="0079077B" w:rsidRDefault="00000000">
      <w:r>
        <w:t>Concerns must be reported to HR or another designated manager. HR records the concern, identifies an impartial reviewer, and determines whether fact-finding is required. The affected person must have a reasonable opportunity to respond. Decisions must be based on documented facts, applied consistently, proportionate to the conduct, and reviewed by an authorized decision-maker. Interim protective steps may be used where necessary and must not prejudge the outcome.</w:t>
      </w:r>
    </w:p>
    <w:p w14:paraId="41A61899" w14:textId="77777777" w:rsidR="0079077B" w:rsidRDefault="00000000">
      <w:pPr>
        <w:pStyle w:val="Heading1"/>
      </w:pPr>
      <w:r>
        <w:t>4. Outcomes and appeal</w:t>
      </w:r>
    </w:p>
    <w:p w14:paraId="1C0A6FC3" w14:textId="77777777" w:rsidR="0079077B" w:rsidRDefault="00000000">
      <w:r>
        <w:t>Possible outcomes may include coaching, corrective action, a documented warning, a performance plan, or termination, subject to applicable law and contract. The decision notice should state the reason, action, effective date, and any review or appeal route. An appeal must be considered by a person not responsible for the original decision where practicable.</w:t>
      </w:r>
    </w:p>
    <w:p w14:paraId="576E5EEF" w14:textId="77777777" w:rsidR="0079077B" w:rsidRDefault="00000000">
      <w:pPr>
        <w:pStyle w:val="Heading1"/>
      </w:pPr>
      <w:r>
        <w:t>5. Records and confidentiality</w:t>
      </w:r>
    </w:p>
    <w:p w14:paraId="403CE186" w14:textId="77777777" w:rsidR="0079077B" w:rsidRDefault="00000000">
      <w:r>
        <w:t>HR maintains restricted case records, including reports, evidence, response, decision, appeal, and closure. Retain and dispose of records under the approved retention schedule. Do not place confidential case details in general personnel or audit materials without authorization.</w:t>
      </w:r>
    </w:p>
    <w:p w14:paraId="7AA49E54" w14:textId="77777777" w:rsidR="0079077B" w:rsidRDefault="00000000">
      <w:pPr>
        <w:pStyle w:val="Heading1"/>
      </w:pPr>
      <w:r>
        <w:lastRenderedPageBreak/>
        <w:t>6. Responsibilities and review</w:t>
      </w:r>
    </w:p>
    <w:p w14:paraId="185AF5C1" w14:textId="77777777" w:rsidR="0079077B" w:rsidRDefault="00000000">
      <w:r>
        <w:t>HR administers the process; managers promptly refer concerns and provide factual information; personnel cooperate and protect confidentiality. Management approves this policy and assigns its owner. Review at least annually and after material legal or operational change.</w:t>
      </w:r>
    </w:p>
    <w:p w14:paraId="74929CB1" w14:textId="77777777" w:rsidR="0079077B" w:rsidRDefault="00000000">
      <w:pPr>
        <w:pStyle w:val="Heading1"/>
      </w:pPr>
      <w:r>
        <w:t>Document approval</w:t>
      </w:r>
    </w:p>
    <w:p w14:paraId="37921941" w14:textId="77777777" w:rsidR="0079077B" w:rsidRDefault="00000000">
      <w:r>
        <w:t>Approval name, role, signature/record reference, and approval date must be completed by authorized personnel after substantive review. This draft is not evidence of approval or operation during the audit period.</w:t>
      </w:r>
    </w:p>
    <w:sectPr w:rsidR="0079077B" w:rsidSect="00034616">
      <w:headerReference w:type="default" r:id="rId8"/>
      <w:footerReference w:type="default" r:id="rId9"/>
      <w:headerReference w:type="first" r:id="rId10"/>
      <w:footerReference w:type="first" r:id="rId11"/>
      <w:pgSz w:w="12240" w:h="15840"/>
      <w:pgMar w:top="567" w:right="1133" w:bottom="1440" w:left="851"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ED0EB2" w14:textId="77777777" w:rsidR="00A63C9C" w:rsidRDefault="00A63C9C">
      <w:pPr>
        <w:spacing w:after="0" w:line="240" w:lineRule="auto"/>
      </w:pPr>
      <w:r>
        <w:separator/>
      </w:r>
    </w:p>
  </w:endnote>
  <w:endnote w:type="continuationSeparator" w:id="0">
    <w:p w14:paraId="78E9F1A0" w14:textId="77777777" w:rsidR="00A63C9C" w:rsidRDefault="00A63C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Open Sans Regular">
    <w:altName w:val="Open Sans"/>
    <w:charset w:val="00"/>
    <w:family w:val="auto"/>
    <w:pitch w:val="default"/>
  </w:font>
  <w:font w:name="Helvetica Neue">
    <w:altName w:val="Arial"/>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71C51B" w14:textId="77777777" w:rsidR="0079077B" w:rsidRDefault="0079077B">
    <w:pPr>
      <w:rPr>
        <w:rFonts w:ascii="Open Sans Regular" w:eastAsia="Open Sans Regular" w:hAnsi="Open Sans Regular" w:cs="Open Sans Regular"/>
        <w:sz w:val="16"/>
      </w:rPr>
    </w:pPr>
  </w:p>
  <w:tbl>
    <w:tblPr>
      <w:tblW w:w="9924" w:type="dxa"/>
      <w:tblLayout w:type="fixed"/>
      <w:tblLook w:val="0600" w:firstRow="0" w:lastRow="0" w:firstColumn="0" w:lastColumn="0" w:noHBand="1" w:noVBand="1"/>
    </w:tblPr>
    <w:tblGrid>
      <w:gridCol w:w="3308"/>
      <w:gridCol w:w="3308"/>
      <w:gridCol w:w="3308"/>
    </w:tblGrid>
    <w:tr w:rsidR="0079077B" w14:paraId="01BEF810" w14:textId="77777777">
      <w:tc>
        <w:tcPr>
          <w:tcW w:w="3308" w:type="dxa"/>
          <w:tcBorders>
            <w:top w:val="none" w:sz="0" w:space="0" w:color="000000"/>
            <w:left w:val="none" w:sz="0" w:space="0" w:color="000000"/>
            <w:bottom w:val="none" w:sz="0" w:space="0" w:color="000000"/>
            <w:right w:val="none" w:sz="0" w:space="0" w:color="000000"/>
          </w:tcBorders>
          <w:tcMar>
            <w:top w:w="43" w:type="dxa"/>
            <w:left w:w="101" w:type="dxa"/>
            <w:bottom w:w="43" w:type="dxa"/>
            <w:right w:w="43" w:type="dxa"/>
          </w:tcMar>
        </w:tcPr>
        <w:p w14:paraId="69A36988" w14:textId="77777777" w:rsidR="0079077B" w:rsidRDefault="00000000">
          <w:pPr>
            <w:spacing w:after="0"/>
            <w:rPr>
              <w:rFonts w:ascii="Open Sans Regular" w:eastAsia="Open Sans Regular" w:hAnsi="Open Sans Regular" w:cs="Open Sans Regular"/>
              <w:sz w:val="16"/>
            </w:rPr>
          </w:pPr>
          <w:r>
            <w:rPr>
              <w:rFonts w:ascii="Open Sans Regular" w:eastAsia="Open Sans Regular" w:hAnsi="Open Sans Regular" w:cs="Open Sans Regular"/>
              <w:sz w:val="16"/>
            </w:rPr>
            <w:t>Zediant Technologies</w:t>
          </w:r>
        </w:p>
        <w:p w14:paraId="3D14869C" w14:textId="77777777" w:rsidR="0079077B" w:rsidRDefault="00000000">
          <w:pPr>
            <w:spacing w:after="0"/>
            <w:rPr>
              <w:rFonts w:ascii="Open Sans Regular" w:eastAsia="Open Sans Regular" w:hAnsi="Open Sans Regular" w:cs="Open Sans Regular"/>
              <w:sz w:val="16"/>
            </w:rPr>
          </w:pPr>
          <w:r>
            <w:rPr>
              <w:rFonts w:ascii="Open Sans Regular" w:eastAsia="Open Sans Regular" w:hAnsi="Open Sans Regular" w:cs="Open Sans Regular"/>
              <w:sz w:val="16"/>
            </w:rPr>
            <w:t xml:space="preserve">Ergo Tower, 4th Floor, Unit 402, </w:t>
          </w:r>
        </w:p>
        <w:p w14:paraId="577CE058" w14:textId="77777777" w:rsidR="0079077B" w:rsidRDefault="00000000">
          <w:pPr>
            <w:spacing w:after="0"/>
            <w:rPr>
              <w:rFonts w:ascii="Open Sans Regular" w:eastAsia="Open Sans Regular" w:hAnsi="Open Sans Regular" w:cs="Open Sans Regular"/>
              <w:sz w:val="16"/>
            </w:rPr>
          </w:pPr>
          <w:r>
            <w:rPr>
              <w:rFonts w:ascii="Open Sans Regular" w:eastAsia="Open Sans Regular" w:hAnsi="Open Sans Regular" w:cs="Open Sans Regular"/>
              <w:sz w:val="16"/>
            </w:rPr>
            <w:t>Salt Lake City, Sector-V, Kolkata-91</w:t>
          </w:r>
        </w:p>
      </w:tc>
      <w:tc>
        <w:tcPr>
          <w:tcW w:w="3308" w:type="dxa"/>
          <w:tcBorders>
            <w:top w:val="none" w:sz="0" w:space="0" w:color="000000"/>
            <w:left w:val="none" w:sz="0" w:space="0" w:color="000000"/>
            <w:bottom w:val="none" w:sz="0" w:space="0" w:color="000000"/>
            <w:right w:val="none" w:sz="0" w:space="0" w:color="000000"/>
          </w:tcBorders>
          <w:tcMar>
            <w:top w:w="43" w:type="dxa"/>
            <w:left w:w="101" w:type="dxa"/>
            <w:bottom w:w="43" w:type="dxa"/>
            <w:right w:w="43" w:type="dxa"/>
          </w:tcMar>
          <w:vAlign w:val="center"/>
        </w:tcPr>
        <w:p w14:paraId="6CB7695B" w14:textId="77777777" w:rsidR="0079077B" w:rsidRDefault="0079077B">
          <w:pPr>
            <w:spacing w:after="0"/>
            <w:jc w:val="center"/>
            <w:rPr>
              <w:rFonts w:ascii="Open Sans Regular" w:eastAsia="Open Sans Regular" w:hAnsi="Open Sans Regular" w:cs="Open Sans Regular"/>
              <w:sz w:val="16"/>
            </w:rPr>
          </w:pPr>
        </w:p>
      </w:tc>
      <w:tc>
        <w:tcPr>
          <w:tcW w:w="3308" w:type="dxa"/>
          <w:tcBorders>
            <w:top w:val="none" w:sz="0" w:space="0" w:color="000000"/>
            <w:left w:val="none" w:sz="0" w:space="0" w:color="000000"/>
            <w:bottom w:val="none" w:sz="0" w:space="0" w:color="000000"/>
            <w:right w:val="none" w:sz="0" w:space="0" w:color="000000"/>
          </w:tcBorders>
          <w:tcMar>
            <w:top w:w="43" w:type="dxa"/>
            <w:left w:w="101" w:type="dxa"/>
            <w:bottom w:w="43" w:type="dxa"/>
            <w:right w:w="43" w:type="dxa"/>
          </w:tcMar>
          <w:vAlign w:val="center"/>
        </w:tcPr>
        <w:p w14:paraId="5351BCA5" w14:textId="77777777" w:rsidR="0079077B" w:rsidRDefault="00000000">
          <w:pPr>
            <w:spacing w:after="0"/>
            <w:jc w:val="right"/>
            <w:rPr>
              <w:rFonts w:ascii="Open Sans Regular" w:eastAsia="Open Sans Regular" w:hAnsi="Open Sans Regular" w:cs="Open Sans Regular"/>
              <w:sz w:val="16"/>
            </w:rPr>
          </w:pPr>
          <w:r>
            <w:rPr>
              <w:rFonts w:ascii="Open Sans Regular" w:eastAsia="Open Sans Regular" w:hAnsi="Open Sans Regular" w:cs="Open Sans Regular"/>
              <w:sz w:val="16"/>
            </w:rPr>
            <w:t>www.zediant.com</w:t>
          </w:r>
        </w:p>
      </w:tc>
    </w:tr>
  </w:tbl>
  <w:p w14:paraId="163F236E" w14:textId="77777777" w:rsidR="0079077B" w:rsidRDefault="0079077B">
    <w:pPr>
      <w:spacing w:after="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5AB6E" w14:textId="77777777" w:rsidR="0079077B" w:rsidRDefault="00000000">
    <w:pPr>
      <w:pBdr>
        <w:top w:val="none" w:sz="0" w:space="0" w:color="000000"/>
        <w:left w:val="none" w:sz="0" w:space="0" w:color="000000"/>
        <w:bottom w:val="none" w:sz="0" w:space="0" w:color="000000"/>
        <w:right w:val="none" w:sz="0" w:space="0" w:color="000000"/>
        <w:between w:val="none" w:sz="0" w:space="0" w:color="000000"/>
      </w:pBdr>
      <w:tabs>
        <w:tab w:val="center" w:pos="4512"/>
        <w:tab w:val="right" w:pos="9025"/>
      </w:tabs>
      <w:rPr>
        <w:color w:val="000000"/>
      </w:rPr>
    </w:pPr>
    <w:r>
      <w:rPr>
        <w:noProof/>
      </w:rPr>
      <w:drawing>
        <wp:anchor distT="0" distB="0" distL="114300" distR="114300" simplePos="0" relativeHeight="251659264" behindDoc="0" locked="0" layoutInCell="1" allowOverlap="1" wp14:anchorId="78A02D71" wp14:editId="33FC518C">
          <wp:simplePos x="0" y="0"/>
          <wp:positionH relativeFrom="column">
            <wp:posOffset>50768</wp:posOffset>
          </wp:positionH>
          <wp:positionV relativeFrom="paragraph">
            <wp:posOffset>12668</wp:posOffset>
          </wp:positionV>
          <wp:extent cx="6296025" cy="95250"/>
          <wp:effectExtent l="0" t="0" r="0" b="0"/>
          <wp:wrapNone/>
          <wp:docPr id="2032247392" name="Av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vi"/>
                  <pic:cNvPicPr>
                    <a:picLocks/>
                  </pic:cNvPicPr>
                </pic:nvPicPr>
                <pic:blipFill>
                  <a:blip r:embed="rId1"/>
                  <a:srcRect/>
                  <a:stretch/>
                </pic:blipFill>
                <pic:spPr>
                  <a:xfrm>
                    <a:off x="0" y="0"/>
                    <a:ext cx="6296025" cy="95250"/>
                  </a:xfrm>
                  <a:prstGeom prst="rect">
                    <a:avLst/>
                  </a:prstGeom>
                </pic:spPr>
              </pic:pic>
            </a:graphicData>
          </a:graphic>
        </wp:anchor>
      </w:drawing>
    </w:r>
    <w:r>
      <w:rPr>
        <w:noProof/>
      </w:rPr>
      <w:drawing>
        <wp:anchor distT="0" distB="0" distL="114300" distR="114300" simplePos="0" relativeHeight="251658240" behindDoc="0" locked="0" layoutInCell="1" allowOverlap="1" wp14:anchorId="71D12752" wp14:editId="7FDE6F38">
          <wp:simplePos x="0" y="0"/>
          <wp:positionH relativeFrom="column">
            <wp:posOffset>0</wp:posOffset>
          </wp:positionH>
          <wp:positionV relativeFrom="paragraph">
            <wp:posOffset>139731</wp:posOffset>
          </wp:positionV>
          <wp:extent cx="2876550" cy="714375"/>
          <wp:effectExtent l="0" t="0" r="0" b="0"/>
          <wp:wrapNone/>
          <wp:docPr id="1703594223" name="Av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vi"/>
                  <pic:cNvPicPr>
                    <a:picLocks/>
                  </pic:cNvPicPr>
                </pic:nvPicPr>
                <pic:blipFill>
                  <a:blip r:embed="rId2"/>
                  <a:srcRect/>
                  <a:stretch/>
                </pic:blipFill>
                <pic:spPr>
                  <a:xfrm>
                    <a:off x="0" y="0"/>
                    <a:ext cx="2876550" cy="714375"/>
                  </a:xfrm>
                  <a:prstGeom prst="rect">
                    <a:avLst/>
                  </a:prstGeom>
                </pic:spPr>
              </pic:pic>
            </a:graphicData>
          </a:graphic>
        </wp:anchor>
      </w:drawing>
    </w:r>
    <w:r>
      <w:rPr>
        <w:noProof/>
      </w:rPr>
      <w:drawing>
        <wp:anchor distT="0" distB="0" distL="114300" distR="114300" simplePos="0" relativeHeight="251657216" behindDoc="0" locked="0" layoutInCell="1" allowOverlap="1" wp14:anchorId="135DB00E" wp14:editId="0C37D48B">
          <wp:simplePos x="0" y="0"/>
          <wp:positionH relativeFrom="column">
            <wp:posOffset>3632168</wp:posOffset>
          </wp:positionH>
          <wp:positionV relativeFrom="paragraph">
            <wp:posOffset>88868</wp:posOffset>
          </wp:positionV>
          <wp:extent cx="2638425" cy="714375"/>
          <wp:effectExtent l="0" t="0" r="0" b="0"/>
          <wp:wrapNone/>
          <wp:docPr id="841248398" name="Av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vi"/>
                  <pic:cNvPicPr>
                    <a:picLocks/>
                  </pic:cNvPicPr>
                </pic:nvPicPr>
                <pic:blipFill>
                  <a:blip r:embed="rId3"/>
                  <a:srcRect/>
                  <a:stretch/>
                </pic:blipFill>
                <pic:spPr>
                  <a:xfrm>
                    <a:off x="0" y="0"/>
                    <a:ext cx="2638425" cy="714375"/>
                  </a:xfrm>
                  <a:prstGeom prst="rect">
                    <a:avLst/>
                  </a:prstGeom>
                </pic:spPr>
              </pic:pic>
            </a:graphicData>
          </a:graphic>
        </wp:anchor>
      </w:drawing>
    </w:r>
  </w:p>
  <w:p w14:paraId="4AFE82D0" w14:textId="77777777" w:rsidR="0079077B" w:rsidRDefault="00000000">
    <w:pPr>
      <w:pBdr>
        <w:top w:val="none" w:sz="0" w:space="0" w:color="000000"/>
        <w:left w:val="none" w:sz="0" w:space="0" w:color="000000"/>
        <w:bottom w:val="none" w:sz="0" w:space="0" w:color="000000"/>
        <w:right w:val="none" w:sz="0" w:space="0" w:color="000000"/>
        <w:between w:val="none" w:sz="0" w:space="0" w:color="000000"/>
      </w:pBdr>
      <w:tabs>
        <w:tab w:val="center" w:pos="4512"/>
        <w:tab w:val="right" w:pos="9025"/>
      </w:tabs>
      <w:spacing w:after="908"/>
      <w:rPr>
        <w:color w:val="000000"/>
      </w:rPr>
    </w:pPr>
    <w:r>
      <w:rPr>
        <w:color w:val="000000"/>
      </w:rPr>
      <w:t>Zediant Technologies</w:t>
    </w:r>
    <w:r>
      <w:br/>
    </w:r>
    <w:r>
      <w:rPr>
        <w:color w:val="000000"/>
      </w:rPr>
      <w:t>CD-234, Salt Lake City, Kolkata - 700064</w:t>
    </w:r>
    <w:r>
      <w:tab/>
    </w:r>
    <w:r>
      <w:rPr>
        <w:color w:val="00000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5AAD41" w14:textId="77777777" w:rsidR="00A63C9C" w:rsidRDefault="00A63C9C">
      <w:pPr>
        <w:spacing w:after="0" w:line="240" w:lineRule="auto"/>
      </w:pPr>
      <w:r>
        <w:separator/>
      </w:r>
    </w:p>
  </w:footnote>
  <w:footnote w:type="continuationSeparator" w:id="0">
    <w:p w14:paraId="55967914" w14:textId="77777777" w:rsidR="00A63C9C" w:rsidRDefault="00A63C9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75FCA0" w14:textId="77777777" w:rsidR="0079077B" w:rsidRDefault="0079077B">
    <w:pPr>
      <w:pBdr>
        <w:top w:val="none" w:sz="0" w:space="0" w:color="000000"/>
        <w:left w:val="none" w:sz="0" w:space="0" w:color="000000"/>
        <w:bottom w:val="none" w:sz="0" w:space="0" w:color="000000"/>
        <w:right w:val="none" w:sz="0" w:space="0" w:color="000000"/>
        <w:between w:val="none" w:sz="0" w:space="0" w:color="000000"/>
      </w:pBdr>
      <w:tabs>
        <w:tab w:val="center" w:pos="4512"/>
        <w:tab w:val="right" w:pos="9025"/>
      </w:tabs>
      <w:spacing w:after="0"/>
      <w:rPr>
        <w:rFonts w:ascii="Open Sans Regular" w:eastAsia="Open Sans Regular" w:hAnsi="Open Sans Regular" w:cs="Open Sans Regular"/>
        <w:color w:val="808080" w:themeColor="text1" w:themeTint="7F"/>
      </w:rPr>
    </w:pPr>
  </w:p>
  <w:p w14:paraId="4C69819B" w14:textId="77777777" w:rsidR="0079077B" w:rsidRDefault="00000000">
    <w:pPr>
      <w:rPr>
        <w:rFonts w:ascii="Open Sans Regular" w:eastAsia="Open Sans Regular" w:hAnsi="Open Sans Regular" w:cs="Open Sans Regular"/>
      </w:rPr>
    </w:pPr>
    <w:r>
      <w:rPr>
        <w:noProof/>
      </w:rPr>
      <w:drawing>
        <wp:inline distT="0" distB="0" distL="0" distR="0" wp14:anchorId="5A9658EC" wp14:editId="54DE4454">
          <wp:extent cx="1447800" cy="561975"/>
          <wp:effectExtent l="0" t="0" r="0" b="0"/>
          <wp:docPr id="162086302" name="Av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vi"/>
                  <pic:cNvPicPr>
                    <a:picLocks/>
                  </pic:cNvPicPr>
                </pic:nvPicPr>
                <pic:blipFill>
                  <a:blip r:embed="rId1">
                    <a:alphaModFix/>
                  </a:blip>
                  <a:srcRect/>
                  <a:stretch/>
                </pic:blipFill>
                <pic:spPr>
                  <a:xfrm>
                    <a:off x="0" y="0"/>
                    <a:ext cx="1447800" cy="561975"/>
                  </a:xfrm>
                  <a:prstGeom prst="rect">
                    <a:avLst/>
                  </a:prstGeom>
                </pic:spPr>
              </pic:pic>
            </a:graphicData>
          </a:graphic>
        </wp:inline>
      </w:drawing>
    </w:r>
  </w:p>
  <w:p w14:paraId="069DFE57" w14:textId="77777777" w:rsidR="0079077B" w:rsidRDefault="00000000">
    <w:r>
      <w:pict w14:anchorId="6DF02840">
        <v:rect id="_x0000_s1025" style="position:absolute;margin-left:0;margin-top:0;width:0;height:1pt;z-index:251660288;visibility:visible;mso-wrap-style:square;mso-width-percent:0;mso-height-percent:0;mso-wrap-distance-left:9pt;mso-wrap-distance-top:0;mso-wrap-distance-right:9pt;mso-wrap-distance-bottom:0;mso-position-horizontal:left;mso-position-horizontal-relative:text;mso-position-vertical:top;mso-position-vertical-relative:line;mso-width-percent:0;mso-height-percent:0;mso-width-relative:margin;mso-height-relative:margin;v-text-anchor:middle" o:hr="t" filled="f" strokecolor="gray" strokeweight="1pt"/>
      </w:pict>
    </w:r>
  </w:p>
  <w:p w14:paraId="7632F9B6" w14:textId="77777777" w:rsidR="0079077B" w:rsidRDefault="0079077B">
    <w:pPr>
      <w:pBdr>
        <w:top w:val="none" w:sz="0" w:space="0" w:color="000000"/>
        <w:left w:val="none" w:sz="0" w:space="0" w:color="000000"/>
        <w:bottom w:val="none" w:sz="0" w:space="0" w:color="000000"/>
        <w:right w:val="none" w:sz="0" w:space="0" w:color="000000"/>
        <w:between w:val="none" w:sz="0" w:space="0" w:color="000000"/>
      </w:pBdr>
      <w:tabs>
        <w:tab w:val="left" w:pos="1923"/>
      </w:tabs>
      <w:spacing w:after="0" w:line="360" w:lineRule="auto"/>
      <w:rPr>
        <w:rFonts w:ascii="Helvetica Neue" w:eastAsia="Helvetica Neue" w:hAnsi="Helvetica Neue" w:cs="Helvetica Neue"/>
        <w:sz w:val="1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297334" w14:textId="77777777" w:rsidR="0079077B" w:rsidRDefault="00000000">
    <w:pPr>
      <w:pBdr>
        <w:top w:val="none" w:sz="0" w:space="0" w:color="000000"/>
        <w:left w:val="none" w:sz="0" w:space="0" w:color="000000"/>
        <w:bottom w:val="none" w:sz="0" w:space="0" w:color="000000"/>
        <w:right w:val="none" w:sz="0" w:space="0" w:color="000000"/>
        <w:between w:val="none" w:sz="0" w:space="0" w:color="000000"/>
      </w:pBdr>
      <w:tabs>
        <w:tab w:val="center" w:pos="4512"/>
        <w:tab w:val="right" w:pos="9025"/>
      </w:tabs>
      <w:spacing w:before="708"/>
      <w:rPr>
        <w:color w:val="000000"/>
      </w:rPr>
    </w:pPr>
    <w:r>
      <w:rPr>
        <w:noProof/>
      </w:rPr>
      <w:drawing>
        <wp:inline distT="0" distB="0" distL="0" distR="0" wp14:anchorId="31450202" wp14:editId="3F6AC9CA">
          <wp:extent cx="1085850" cy="419100"/>
          <wp:effectExtent l="0" t="0" r="0" b="0"/>
          <wp:docPr id="1597812544" name="Av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vi"/>
                  <pic:cNvPicPr>
                    <a:picLocks/>
                  </pic:cNvPicPr>
                </pic:nvPicPr>
                <pic:blipFill>
                  <a:blip r:embed="rId1"/>
                  <a:srcRect/>
                  <a:stretch/>
                </pic:blipFill>
                <pic:spPr>
                  <a:xfrm>
                    <a:off x="0" y="0"/>
                    <a:ext cx="1085850" cy="419100"/>
                  </a:xfrm>
                  <a:prstGeom prst="rect">
                    <a:avLst/>
                  </a:prstGeom>
                </pic:spPr>
              </pic:pic>
            </a:graphicData>
          </a:graphic>
        </wp:inline>
      </w:drawing>
    </w:r>
    <w:r>
      <w:rPr>
        <w:noProof/>
      </w:rPr>
      <w:drawing>
        <wp:anchor distT="0" distB="0" distL="114300" distR="114300" simplePos="0" relativeHeight="251656192" behindDoc="0" locked="0" layoutInCell="1" allowOverlap="1" wp14:anchorId="7ECC13A9" wp14:editId="761B2CF5">
          <wp:simplePos x="0" y="0"/>
          <wp:positionH relativeFrom="column">
            <wp:posOffset>114300</wp:posOffset>
          </wp:positionH>
          <wp:positionV relativeFrom="paragraph">
            <wp:posOffset>0</wp:posOffset>
          </wp:positionV>
          <wp:extent cx="1457325" cy="561975"/>
          <wp:effectExtent l="0" t="0" r="0" b="0"/>
          <wp:wrapSquare wrapText="bothSides"/>
          <wp:docPr id="384973792" name="Av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vi"/>
                  <pic:cNvPicPr>
                    <a:picLocks/>
                  </pic:cNvPicPr>
                </pic:nvPicPr>
                <pic:blipFill>
                  <a:blip r:embed="rId2"/>
                  <a:srcRect/>
                  <a:stretch/>
                </pic:blipFill>
                <pic:spPr>
                  <a:xfrm>
                    <a:off x="0" y="0"/>
                    <a:ext cx="1457325" cy="561975"/>
                  </a:xfrm>
                  <a:prstGeom prst="rect">
                    <a:avLst/>
                  </a:prstGeom>
                </pic:spPr>
              </pic:pic>
            </a:graphicData>
          </a:graphic>
        </wp:anchor>
      </w:drawing>
    </w:r>
    <w:r>
      <w:tab/>
    </w:r>
    <w:r>
      <w:rPr>
        <w:noProof/>
      </w:rPr>
      <w:drawing>
        <wp:anchor distT="0" distB="0" distL="114300" distR="114300" simplePos="0" relativeHeight="251655168" behindDoc="0" locked="0" layoutInCell="1" allowOverlap="1" wp14:anchorId="0B98A8DF" wp14:editId="7A931BD8">
          <wp:simplePos x="0" y="0"/>
          <wp:positionH relativeFrom="column">
            <wp:posOffset>25431</wp:posOffset>
          </wp:positionH>
          <wp:positionV relativeFrom="paragraph">
            <wp:posOffset>850868</wp:posOffset>
          </wp:positionV>
          <wp:extent cx="6353175" cy="66675"/>
          <wp:effectExtent l="0" t="0" r="0" b="0"/>
          <wp:wrapNone/>
          <wp:docPr id="238856820" name="Av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vi"/>
                  <pic:cNvPicPr>
                    <a:picLocks/>
                  </pic:cNvPicPr>
                </pic:nvPicPr>
                <pic:blipFill>
                  <a:blip r:embed="rId3"/>
                  <a:srcRect/>
                  <a:stretch/>
                </pic:blipFill>
                <pic:spPr>
                  <a:xfrm>
                    <a:off x="0" y="0"/>
                    <a:ext cx="6353175" cy="666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21321719">
    <w:abstractNumId w:val="8"/>
  </w:num>
  <w:num w:numId="2" w16cid:durableId="424620924">
    <w:abstractNumId w:val="6"/>
  </w:num>
  <w:num w:numId="3" w16cid:durableId="1965116519">
    <w:abstractNumId w:val="5"/>
  </w:num>
  <w:num w:numId="4" w16cid:durableId="1082681185">
    <w:abstractNumId w:val="4"/>
  </w:num>
  <w:num w:numId="5" w16cid:durableId="961962425">
    <w:abstractNumId w:val="7"/>
  </w:num>
  <w:num w:numId="6" w16cid:durableId="695540445">
    <w:abstractNumId w:val="3"/>
  </w:num>
  <w:num w:numId="7" w16cid:durableId="731847835">
    <w:abstractNumId w:val="2"/>
  </w:num>
  <w:num w:numId="8" w16cid:durableId="833835212">
    <w:abstractNumId w:val="1"/>
  </w:num>
  <w:num w:numId="9" w16cid:durableId="2615709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5E2B"/>
    <w:rsid w:val="000E36A5"/>
    <w:rsid w:val="0015074B"/>
    <w:rsid w:val="00177EE9"/>
    <w:rsid w:val="0029639D"/>
    <w:rsid w:val="00326F90"/>
    <w:rsid w:val="0055746D"/>
    <w:rsid w:val="0079077B"/>
    <w:rsid w:val="00A63C9C"/>
    <w:rsid w:val="00AA1D8D"/>
    <w:rsid w:val="00B47730"/>
    <w:rsid w:val="00CA2EF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03C5D26"/>
  <w14:defaultImageDpi w14:val="300"/>
  <w15:docId w15:val="{1D3C4FA4-5FBD-4C08-A8BD-14E43DDE9A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footer2.xml.rels><?xml version="1.0" encoding="UTF-8" standalone="yes"?>
<Relationships xmlns="http://schemas.openxmlformats.org/package/2006/relationships"><Relationship Id="rId3" Type="http://schemas.openxmlformats.org/officeDocument/2006/relationships/image" Target="media/image7.png"/><Relationship Id="rId2" Type="http://schemas.openxmlformats.org/officeDocument/2006/relationships/image" Target="media/image6.png"/><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372</Words>
  <Characters>2126</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Rajeev Jaiswal</cp:lastModifiedBy>
  <cp:revision>3</cp:revision>
  <dcterms:created xsi:type="dcterms:W3CDTF">2013-12-23T23:15:00Z</dcterms:created>
  <dcterms:modified xsi:type="dcterms:W3CDTF">2026-10-13T04:19:00Z</dcterms:modified>
  <cp:category/>
</cp:coreProperties>
</file>