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0F01B1D" w14:textId="77777777" w:rsidR="00EF5A72" w:rsidRDefault="00EF5A72">
      <w:pPr>
        <w:widowControl/>
        <w:spacing w:after="0" w:line="240" w:lineRule="auto"/>
        <w:rPr>
          <w:rFonts w:ascii="Verdana" w:eastAsia="Verdana" w:hAnsi="Verdana" w:cs="Verdana"/>
          <w:sz w:val="20"/>
          <w:szCs w:val="20"/>
        </w:rPr>
      </w:pPr>
    </w:p>
    <w:p w14:paraId="764D16E0" w14:textId="77777777" w:rsidR="00EF5A72" w:rsidRDefault="00EF5A72">
      <w:pPr>
        <w:widowControl/>
        <w:spacing w:after="0" w:line="240" w:lineRule="auto"/>
        <w:rPr>
          <w:rFonts w:ascii="Verdana" w:eastAsia="Verdana" w:hAnsi="Verdana" w:cs="Verdana"/>
          <w:sz w:val="20"/>
          <w:szCs w:val="20"/>
        </w:rPr>
      </w:pPr>
    </w:p>
    <w:p w14:paraId="043A6E53" w14:textId="77777777" w:rsidR="00EF5A72" w:rsidRDefault="00000000">
      <w:pPr>
        <w:widowControl/>
        <w:pBdr>
          <w:bottom w:val="single" w:sz="18" w:space="2" w:color="000000"/>
        </w:pBdr>
        <w:shd w:val="clear" w:color="auto" w:fill="000099"/>
        <w:tabs>
          <w:tab w:val="left" w:pos="600"/>
        </w:tabs>
        <w:spacing w:after="0" w:line="240" w:lineRule="auto"/>
        <w:ind w:left="720"/>
        <w:jc w:val="center"/>
        <w:rPr>
          <w:rFonts w:ascii="Verdana" w:eastAsia="Verdana" w:hAnsi="Verdana" w:cs="Verdana"/>
          <w:b/>
          <w:color w:val="FFFFFF"/>
          <w:sz w:val="32"/>
          <w:szCs w:val="32"/>
        </w:rPr>
      </w:pPr>
      <w:proofErr w:type="gramStart"/>
      <w:r>
        <w:rPr>
          <w:rFonts w:ascii="Verdana" w:eastAsia="Verdana" w:hAnsi="Verdana" w:cs="Verdana"/>
          <w:b/>
          <w:color w:val="FFFFFF"/>
          <w:sz w:val="32"/>
          <w:szCs w:val="32"/>
        </w:rPr>
        <w:t>VENDOR  MANAGEMENT</w:t>
      </w:r>
      <w:proofErr w:type="gramEnd"/>
      <w:r>
        <w:rPr>
          <w:rFonts w:ascii="Verdana" w:eastAsia="Verdana" w:hAnsi="Verdana" w:cs="Verdana"/>
          <w:b/>
          <w:color w:val="FFFFFF"/>
          <w:sz w:val="32"/>
          <w:szCs w:val="32"/>
        </w:rPr>
        <w:t xml:space="preserve"> POLICY</w:t>
      </w:r>
    </w:p>
    <w:p w14:paraId="50A70A31" w14:textId="77777777" w:rsidR="00EF5A72" w:rsidRDefault="00EF5A72">
      <w:pPr>
        <w:widowControl/>
        <w:spacing w:after="0" w:line="240" w:lineRule="auto"/>
        <w:jc w:val="center"/>
        <w:rPr>
          <w:rFonts w:ascii="Verdana" w:eastAsia="Verdana" w:hAnsi="Verdana" w:cs="Verdana"/>
          <w:b/>
          <w:sz w:val="20"/>
          <w:szCs w:val="20"/>
        </w:rPr>
      </w:pPr>
    </w:p>
    <w:p w14:paraId="333EE1CD" w14:textId="77777777" w:rsidR="00EF5A72" w:rsidRDefault="00EF5A72">
      <w:pPr>
        <w:widowControl/>
        <w:spacing w:after="0" w:line="240" w:lineRule="auto"/>
        <w:jc w:val="center"/>
        <w:rPr>
          <w:rFonts w:ascii="Verdana" w:eastAsia="Verdana" w:hAnsi="Verdana" w:cs="Verdana"/>
          <w:b/>
          <w:sz w:val="20"/>
          <w:szCs w:val="20"/>
        </w:rPr>
      </w:pPr>
    </w:p>
    <w:p w14:paraId="0E6953D0" w14:textId="77777777" w:rsidR="00EF5A72" w:rsidRDefault="00EF5A72">
      <w:pPr>
        <w:widowControl/>
        <w:spacing w:after="0" w:line="240" w:lineRule="auto"/>
        <w:rPr>
          <w:rFonts w:ascii="Verdana" w:eastAsia="Verdana" w:hAnsi="Verdana" w:cs="Verdana"/>
          <w:b/>
          <w:sz w:val="20"/>
          <w:szCs w:val="20"/>
        </w:rPr>
      </w:pPr>
    </w:p>
    <w:p w14:paraId="79C0F9F9" w14:textId="77777777" w:rsidR="00EF5A72" w:rsidRDefault="00EF5A72">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rPr>
          <w:rFonts w:ascii="Helvetica Neue" w:eastAsia="Helvetica Neue" w:hAnsi="Helvetica Neue" w:cs="Helvetica Neue"/>
          <w:b/>
        </w:rPr>
      </w:pPr>
      <w:bookmarkStart w:id="0" w:name="_heading=h.gjdgxs" w:colFirst="0" w:colLast="0"/>
      <w:bookmarkEnd w:id="0"/>
    </w:p>
    <w:tbl>
      <w:tblPr>
        <w:tblStyle w:val="afff9"/>
        <w:tblW w:w="5000" w:type="pct"/>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62"/>
        <w:gridCol w:w="4650"/>
      </w:tblGrid>
      <w:tr w:rsidR="00EF5A72" w14:paraId="62EC9918" w14:textId="77777777" w:rsidTr="003A073D">
        <w:trPr>
          <w:jc w:val="right"/>
        </w:trPr>
        <w:tc>
          <w:tcPr>
            <w:tcW w:w="3118" w:type="dxa"/>
            <w:tcBorders>
              <w:top w:val="single" w:sz="4" w:space="0" w:color="000000"/>
              <w:left w:val="single" w:sz="4" w:space="0" w:color="000000"/>
              <w:bottom w:val="single" w:sz="4" w:space="0" w:color="000000"/>
              <w:right w:val="single" w:sz="4" w:space="0" w:color="000000"/>
            </w:tcBorders>
            <w:shd w:val="clear" w:color="auto" w:fill="00A2FF"/>
            <w:tcMar>
              <w:top w:w="0" w:type="dxa"/>
              <w:left w:w="108" w:type="dxa"/>
              <w:bottom w:w="0" w:type="dxa"/>
              <w:right w:w="108" w:type="dxa"/>
            </w:tcMar>
          </w:tcPr>
          <w:p w14:paraId="7B42B41F" w14:textId="77777777" w:rsidR="00EF5A72" w:rsidRDefault="00000000">
            <w:r>
              <w:rPr>
                <w:sz w:val="18"/>
              </w:rPr>
              <w:t>Policy Document ID</w:t>
            </w:r>
          </w:p>
        </w:tc>
        <w:tc>
          <w:tcPr>
            <w:tcW w:w="2755" w:type="dxa"/>
            <w:tcBorders>
              <w:top w:val="single" w:sz="4" w:space="0" w:color="000000"/>
              <w:left w:val="single" w:sz="4" w:space="0" w:color="000000"/>
              <w:bottom w:val="single" w:sz="4" w:space="0" w:color="000000"/>
              <w:right w:val="single" w:sz="4" w:space="0" w:color="000000"/>
            </w:tcBorders>
            <w:shd w:val="clear" w:color="auto" w:fill="EDEAF0"/>
            <w:tcMar>
              <w:top w:w="0" w:type="dxa"/>
              <w:left w:w="108" w:type="dxa"/>
              <w:bottom w:w="0" w:type="dxa"/>
              <w:right w:w="108" w:type="dxa"/>
            </w:tcMar>
          </w:tcPr>
          <w:p w14:paraId="49051467" w14:textId="77777777" w:rsidR="00EF5A72" w:rsidRDefault="00000000" w:rsidP="003A073D">
            <w:pPr>
              <w:ind w:left="0"/>
            </w:pPr>
            <w:r>
              <w:rPr>
                <w:sz w:val="18"/>
              </w:rPr>
              <w:t>ZED-POL-04</w:t>
            </w:r>
          </w:p>
        </w:tc>
      </w:tr>
      <w:tr w:rsidR="00EF5A72" w14:paraId="21A70DEE" w14:textId="77777777" w:rsidTr="003A073D">
        <w:trPr>
          <w:jc w:val="right"/>
        </w:trPr>
        <w:tc>
          <w:tcPr>
            <w:tcW w:w="3118" w:type="dxa"/>
            <w:tcBorders>
              <w:top w:val="single" w:sz="4" w:space="0" w:color="000000"/>
              <w:left w:val="single" w:sz="4" w:space="0" w:color="000000"/>
              <w:bottom w:val="single" w:sz="4" w:space="0" w:color="000000"/>
              <w:right w:val="single" w:sz="4" w:space="0" w:color="000000"/>
            </w:tcBorders>
            <w:shd w:val="clear" w:color="auto" w:fill="00A2FF"/>
            <w:tcMar>
              <w:top w:w="0" w:type="dxa"/>
              <w:left w:w="108" w:type="dxa"/>
              <w:bottom w:w="0" w:type="dxa"/>
              <w:right w:w="108" w:type="dxa"/>
            </w:tcMar>
          </w:tcPr>
          <w:p w14:paraId="29BA1A37" w14:textId="77777777" w:rsidR="00EF5A72" w:rsidRDefault="00000000">
            <w:r>
              <w:rPr>
                <w:sz w:val="18"/>
              </w:rPr>
              <w:t>Document Version</w:t>
            </w:r>
          </w:p>
        </w:tc>
        <w:tc>
          <w:tcPr>
            <w:tcW w:w="2755" w:type="dxa"/>
            <w:tcBorders>
              <w:top w:val="single" w:sz="4" w:space="0" w:color="000000"/>
              <w:left w:val="single" w:sz="4" w:space="0" w:color="000000"/>
              <w:bottom w:val="single" w:sz="4" w:space="0" w:color="000000"/>
              <w:right w:val="single" w:sz="4" w:space="0" w:color="000000"/>
            </w:tcBorders>
            <w:shd w:val="clear" w:color="auto" w:fill="EDEAF0"/>
            <w:tcMar>
              <w:top w:w="0" w:type="dxa"/>
              <w:left w:w="108" w:type="dxa"/>
              <w:bottom w:w="0" w:type="dxa"/>
              <w:right w:w="108" w:type="dxa"/>
            </w:tcMar>
          </w:tcPr>
          <w:p w14:paraId="638C8A6B" w14:textId="77777777" w:rsidR="00EF5A72" w:rsidRDefault="00000000" w:rsidP="003A073D">
            <w:pPr>
              <w:ind w:left="0"/>
            </w:pPr>
            <w:r>
              <w:rPr>
                <w:sz w:val="18"/>
              </w:rPr>
              <w:t>v2.0 (Renewal 2025–2026)</w:t>
            </w:r>
          </w:p>
        </w:tc>
      </w:tr>
      <w:tr w:rsidR="00EF5A72" w14:paraId="79CB0C18" w14:textId="77777777" w:rsidTr="003A073D">
        <w:trPr>
          <w:jc w:val="right"/>
        </w:trPr>
        <w:tc>
          <w:tcPr>
            <w:tcW w:w="3118" w:type="dxa"/>
          </w:tcPr>
          <w:p w14:paraId="20CE1BE2" w14:textId="77777777" w:rsidR="00EF5A72" w:rsidRDefault="00000000">
            <w:r>
              <w:rPr>
                <w:sz w:val="18"/>
              </w:rPr>
              <w:t>Last Review Date</w:t>
            </w:r>
          </w:p>
        </w:tc>
        <w:tc>
          <w:tcPr>
            <w:tcW w:w="2755" w:type="dxa"/>
          </w:tcPr>
          <w:p w14:paraId="1E107E54" w14:textId="77777777" w:rsidR="00EF5A72" w:rsidRDefault="00000000" w:rsidP="003A073D">
            <w:pPr>
              <w:ind w:left="0"/>
            </w:pPr>
            <w:r>
              <w:t>October 1, 2025</w:t>
            </w:r>
          </w:p>
        </w:tc>
      </w:tr>
      <w:tr w:rsidR="00EF5A72" w14:paraId="468270D5" w14:textId="77777777" w:rsidTr="003A073D">
        <w:trPr>
          <w:jc w:val="right"/>
        </w:trPr>
        <w:tc>
          <w:tcPr>
            <w:tcW w:w="3118" w:type="dxa"/>
          </w:tcPr>
          <w:p w14:paraId="7D9BDBAB" w14:textId="77777777" w:rsidR="00EF5A72" w:rsidRDefault="00000000">
            <w:r>
              <w:rPr>
                <w:sz w:val="18"/>
              </w:rPr>
              <w:t>Approval Authority / Status</w:t>
            </w:r>
          </w:p>
        </w:tc>
        <w:tc>
          <w:tcPr>
            <w:tcW w:w="2755" w:type="dxa"/>
          </w:tcPr>
          <w:p w14:paraId="5F471F23" w14:textId="77777777" w:rsidR="00EF5A72" w:rsidRDefault="00000000" w:rsidP="003A073D">
            <w:pPr>
              <w:ind w:left="0"/>
            </w:pPr>
            <w:r>
              <w:rPr>
                <w:sz w:val="18"/>
              </w:rPr>
              <w:t>Chief Information Security Officer (CISO) &amp; Management; authorized approval to be recorded</w:t>
            </w:r>
          </w:p>
        </w:tc>
      </w:tr>
      <w:tr w:rsidR="00EF5A72" w14:paraId="54F2EEF5" w14:textId="77777777" w:rsidTr="003A073D">
        <w:trPr>
          <w:jc w:val="right"/>
        </w:trPr>
        <w:tc>
          <w:tcPr>
            <w:tcW w:w="3118" w:type="dxa"/>
          </w:tcPr>
          <w:p w14:paraId="152F8388" w14:textId="77777777" w:rsidR="00EF5A72" w:rsidRDefault="00000000">
            <w:r>
              <w:rPr>
                <w:sz w:val="18"/>
              </w:rPr>
              <w:t>Classification</w:t>
            </w:r>
          </w:p>
        </w:tc>
        <w:tc>
          <w:tcPr>
            <w:tcW w:w="2755" w:type="dxa"/>
          </w:tcPr>
          <w:p w14:paraId="5AD5BE50" w14:textId="77777777" w:rsidR="00EF5A72" w:rsidRDefault="00000000" w:rsidP="003A073D">
            <w:pPr>
              <w:ind w:left="0"/>
            </w:pPr>
            <w:r>
              <w:rPr>
                <w:sz w:val="18"/>
              </w:rPr>
              <w:t>Confidential – Internal &amp; Authorized Auditor Access Only</w:t>
            </w:r>
          </w:p>
        </w:tc>
      </w:tr>
    </w:tbl>
    <w:p w14:paraId="06C61C6D" w14:textId="77777777" w:rsidR="00EF5A72" w:rsidRDefault="00EF5A72">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ind w:left="2880"/>
        <w:jc w:val="right"/>
        <w:rPr>
          <w:rFonts w:ascii="Verdana" w:eastAsia="Verdana" w:hAnsi="Verdana" w:cs="Verdana"/>
          <w:b/>
          <w:sz w:val="20"/>
          <w:szCs w:val="20"/>
        </w:rPr>
      </w:pPr>
    </w:p>
    <w:p w14:paraId="793D38E4" w14:textId="77777777" w:rsidR="00EF5A72" w:rsidRDefault="00EF5A72">
      <w:pPr>
        <w:widowControl/>
        <w:spacing w:after="0" w:line="240" w:lineRule="auto"/>
        <w:jc w:val="center"/>
        <w:rPr>
          <w:rFonts w:ascii="Verdana" w:eastAsia="Verdana" w:hAnsi="Verdana" w:cs="Verdana"/>
          <w:b/>
          <w:sz w:val="20"/>
          <w:szCs w:val="20"/>
        </w:rPr>
      </w:pPr>
    </w:p>
    <w:p w14:paraId="3CBC84FB" w14:textId="77777777" w:rsidR="00EF5A72" w:rsidRDefault="00EF5A72" w:rsidP="003A073D">
      <w:pPr>
        <w:widowControl/>
        <w:spacing w:after="0" w:line="240" w:lineRule="auto"/>
        <w:rPr>
          <w:rFonts w:ascii="Verdana" w:eastAsia="Verdana" w:hAnsi="Verdana" w:cs="Verdana"/>
          <w:b/>
          <w:sz w:val="20"/>
          <w:szCs w:val="20"/>
        </w:rPr>
      </w:pPr>
    </w:p>
    <w:p w14:paraId="2746584B" w14:textId="77777777" w:rsidR="00EF5A72" w:rsidRDefault="00EF5A72">
      <w:pPr>
        <w:widowControl/>
        <w:spacing w:after="0" w:line="240" w:lineRule="auto"/>
        <w:jc w:val="center"/>
        <w:rPr>
          <w:rFonts w:ascii="Verdana" w:eastAsia="Verdana" w:hAnsi="Verdana" w:cs="Verdana"/>
          <w:b/>
          <w:sz w:val="20"/>
          <w:szCs w:val="20"/>
        </w:rPr>
      </w:pPr>
    </w:p>
    <w:p w14:paraId="50B5F72F" w14:textId="77777777" w:rsidR="00EF5A72" w:rsidRDefault="00000000">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rFonts w:ascii="Verdana" w:eastAsia="Verdana" w:hAnsi="Verdana" w:cs="Verdana"/>
          <w:b/>
        </w:rPr>
      </w:pPr>
      <w:r>
        <w:rPr>
          <w:rFonts w:ascii="Verdana" w:eastAsia="Verdana" w:hAnsi="Verdana" w:cs="Verdana"/>
          <w:b/>
        </w:rPr>
        <w:t xml:space="preserve">Revision History </w:t>
      </w:r>
    </w:p>
    <w:p w14:paraId="6FD899EB" w14:textId="77777777" w:rsidR="00EF5A72" w:rsidRDefault="00EF5A72">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rFonts w:ascii="Verdana" w:eastAsia="Verdana" w:hAnsi="Verdana" w:cs="Verdana"/>
        </w:rPr>
      </w:pPr>
    </w:p>
    <w:tbl>
      <w:tblPr>
        <w:tblStyle w:val="afffa"/>
        <w:tblW w:w="990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5"/>
        <w:gridCol w:w="1710"/>
        <w:gridCol w:w="2790"/>
        <w:gridCol w:w="3795"/>
      </w:tblGrid>
      <w:tr w:rsidR="00EF5A72" w14:paraId="00079C08" w14:textId="77777777">
        <w:trPr>
          <w:jc w:val="center"/>
        </w:trPr>
        <w:tc>
          <w:tcPr>
            <w:tcW w:w="1605" w:type="dxa"/>
            <w:tcBorders>
              <w:top w:val="single" w:sz="4" w:space="0" w:color="000000"/>
              <w:left w:val="single" w:sz="4" w:space="0" w:color="000000"/>
              <w:bottom w:val="single" w:sz="4" w:space="0" w:color="000000"/>
              <w:right w:val="single" w:sz="4" w:space="0" w:color="000000"/>
            </w:tcBorders>
            <w:shd w:val="clear" w:color="auto" w:fill="00A2FF"/>
            <w:tcMar>
              <w:top w:w="0" w:type="dxa"/>
              <w:left w:w="108" w:type="dxa"/>
              <w:bottom w:w="0" w:type="dxa"/>
              <w:right w:w="108" w:type="dxa"/>
            </w:tcMar>
          </w:tcPr>
          <w:p w14:paraId="6395B006" w14:textId="77777777" w:rsidR="00EF5A72" w:rsidRDefault="00000000" w:rsidP="003A073D">
            <w:pPr>
              <w:ind w:left="0"/>
              <w:rPr>
                <w:rFonts w:ascii="Verdana" w:eastAsia="Verdana" w:hAnsi="Verdana" w:cs="Verdana"/>
                <w:b/>
                <w:color w:val="FFFFFF"/>
              </w:rPr>
            </w:pPr>
            <w:r>
              <w:rPr>
                <w:rFonts w:ascii="Verdana" w:eastAsia="Verdana" w:hAnsi="Verdana" w:cs="Verdana"/>
                <w:b/>
                <w:color w:val="FFFFFF"/>
              </w:rPr>
              <w:t>Version</w:t>
            </w:r>
          </w:p>
        </w:tc>
        <w:tc>
          <w:tcPr>
            <w:tcW w:w="1710" w:type="dxa"/>
            <w:tcBorders>
              <w:top w:val="single" w:sz="4" w:space="0" w:color="000000"/>
              <w:left w:val="single" w:sz="4" w:space="0" w:color="000000"/>
              <w:bottom w:val="single" w:sz="4" w:space="0" w:color="000000"/>
              <w:right w:val="single" w:sz="4" w:space="0" w:color="000000"/>
            </w:tcBorders>
            <w:shd w:val="clear" w:color="auto" w:fill="00A2FF"/>
            <w:tcMar>
              <w:top w:w="0" w:type="dxa"/>
              <w:left w:w="108" w:type="dxa"/>
              <w:bottom w:w="0" w:type="dxa"/>
              <w:right w:w="108" w:type="dxa"/>
            </w:tcMar>
          </w:tcPr>
          <w:p w14:paraId="008EC680" w14:textId="77777777" w:rsidR="00EF5A72" w:rsidRDefault="00000000" w:rsidP="003A073D">
            <w:pPr>
              <w:ind w:left="0"/>
              <w:rPr>
                <w:rFonts w:ascii="Verdana" w:eastAsia="Verdana" w:hAnsi="Verdana" w:cs="Verdana"/>
                <w:b/>
                <w:color w:val="FFFFFF"/>
              </w:rPr>
            </w:pPr>
            <w:r>
              <w:rPr>
                <w:rFonts w:ascii="Verdana" w:eastAsia="Verdana" w:hAnsi="Verdana" w:cs="Verdana"/>
                <w:b/>
                <w:color w:val="FFFFFF"/>
              </w:rPr>
              <w:t>Date</w:t>
            </w:r>
          </w:p>
        </w:tc>
        <w:tc>
          <w:tcPr>
            <w:tcW w:w="2790" w:type="dxa"/>
            <w:tcBorders>
              <w:top w:val="single" w:sz="4" w:space="0" w:color="000000"/>
              <w:left w:val="single" w:sz="4" w:space="0" w:color="000000"/>
              <w:bottom w:val="single" w:sz="4" w:space="0" w:color="000000"/>
              <w:right w:val="single" w:sz="4" w:space="0" w:color="000000"/>
            </w:tcBorders>
            <w:shd w:val="clear" w:color="auto" w:fill="00A2FF"/>
            <w:tcMar>
              <w:top w:w="0" w:type="dxa"/>
              <w:left w:w="108" w:type="dxa"/>
              <w:bottom w:w="0" w:type="dxa"/>
              <w:right w:w="108" w:type="dxa"/>
            </w:tcMar>
          </w:tcPr>
          <w:p w14:paraId="0061DAB2" w14:textId="77777777" w:rsidR="00EF5A72" w:rsidRDefault="00000000" w:rsidP="003A073D">
            <w:pPr>
              <w:ind w:left="0"/>
              <w:rPr>
                <w:rFonts w:ascii="Verdana" w:eastAsia="Verdana" w:hAnsi="Verdana" w:cs="Verdana"/>
                <w:b/>
                <w:color w:val="FFFFFF"/>
              </w:rPr>
            </w:pPr>
            <w:r>
              <w:rPr>
                <w:rFonts w:ascii="Verdana" w:eastAsia="Verdana" w:hAnsi="Verdana" w:cs="Verdana"/>
                <w:b/>
                <w:color w:val="FFFFFF"/>
              </w:rPr>
              <w:t>Revision Author</w:t>
            </w:r>
          </w:p>
        </w:tc>
        <w:tc>
          <w:tcPr>
            <w:tcW w:w="3795" w:type="dxa"/>
            <w:tcBorders>
              <w:top w:val="single" w:sz="4" w:space="0" w:color="000000"/>
              <w:left w:val="single" w:sz="4" w:space="0" w:color="000000"/>
              <w:bottom w:val="single" w:sz="4" w:space="0" w:color="000000"/>
              <w:right w:val="single" w:sz="4" w:space="0" w:color="000000"/>
            </w:tcBorders>
            <w:shd w:val="clear" w:color="auto" w:fill="00A2FF"/>
            <w:tcMar>
              <w:top w:w="0" w:type="dxa"/>
              <w:left w:w="108" w:type="dxa"/>
              <w:bottom w:w="0" w:type="dxa"/>
              <w:right w:w="108" w:type="dxa"/>
            </w:tcMar>
          </w:tcPr>
          <w:p w14:paraId="450F8900" w14:textId="77777777" w:rsidR="00EF5A72" w:rsidRDefault="00000000" w:rsidP="003A073D">
            <w:pPr>
              <w:ind w:left="0"/>
              <w:rPr>
                <w:rFonts w:ascii="Verdana" w:eastAsia="Verdana" w:hAnsi="Verdana" w:cs="Verdana"/>
                <w:b/>
                <w:color w:val="FFFFFF"/>
              </w:rPr>
            </w:pPr>
            <w:r>
              <w:rPr>
                <w:rFonts w:ascii="Verdana" w:eastAsia="Verdana" w:hAnsi="Verdana" w:cs="Verdana"/>
                <w:b/>
                <w:color w:val="FFFFFF"/>
              </w:rPr>
              <w:t>Summary of Changes</w:t>
            </w:r>
          </w:p>
        </w:tc>
      </w:tr>
      <w:tr w:rsidR="00EF5A72" w14:paraId="61947E94" w14:textId="77777777">
        <w:trPr>
          <w:jc w:val="center"/>
        </w:trPr>
        <w:tc>
          <w:tcPr>
            <w:tcW w:w="1605" w:type="dxa"/>
            <w:tcMar>
              <w:top w:w="100" w:type="dxa"/>
              <w:left w:w="100" w:type="dxa"/>
              <w:bottom w:w="100" w:type="dxa"/>
              <w:right w:w="100" w:type="dxa"/>
            </w:tcMar>
          </w:tcPr>
          <w:p w14:paraId="3EF99082" w14:textId="77777777" w:rsidR="00EF5A72" w:rsidRDefault="00000000">
            <w:pPr>
              <w:widowControl w:val="0"/>
              <w:pBdr>
                <w:top w:val="none" w:sz="0" w:space="0" w:color="auto"/>
                <w:left w:val="none" w:sz="0" w:space="0" w:color="auto"/>
                <w:bottom w:val="none" w:sz="0" w:space="0" w:color="auto"/>
                <w:right w:val="none" w:sz="0" w:space="0" w:color="auto"/>
                <w:between w:val="none" w:sz="0" w:space="0" w:color="auto"/>
              </w:pBdr>
              <w:ind w:left="0"/>
              <w:rPr>
                <w:rFonts w:ascii="Verdana" w:eastAsia="Verdana" w:hAnsi="Verdana" w:cs="Verdana"/>
              </w:rPr>
            </w:pPr>
            <w:r>
              <w:rPr>
                <w:rFonts w:ascii="Verdana" w:eastAsia="Verdana" w:hAnsi="Verdana" w:cs="Verdana"/>
              </w:rPr>
              <w:t>1.2</w:t>
            </w:r>
          </w:p>
        </w:tc>
        <w:tc>
          <w:tcPr>
            <w:tcW w:w="1710" w:type="dxa"/>
            <w:tcMar>
              <w:top w:w="100" w:type="dxa"/>
              <w:left w:w="100" w:type="dxa"/>
              <w:bottom w:w="100" w:type="dxa"/>
              <w:right w:w="100" w:type="dxa"/>
            </w:tcMar>
          </w:tcPr>
          <w:p w14:paraId="0729AE83" w14:textId="77777777" w:rsidR="00EF5A72" w:rsidRDefault="00000000">
            <w:pPr>
              <w:widowControl w:val="0"/>
              <w:pBdr>
                <w:top w:val="none" w:sz="0" w:space="0" w:color="auto"/>
                <w:left w:val="none" w:sz="0" w:space="0" w:color="auto"/>
                <w:bottom w:val="none" w:sz="0" w:space="0" w:color="auto"/>
                <w:right w:val="none" w:sz="0" w:space="0" w:color="auto"/>
                <w:between w:val="none" w:sz="0" w:space="0" w:color="auto"/>
              </w:pBdr>
              <w:ind w:left="0"/>
              <w:rPr>
                <w:rFonts w:ascii="Verdana" w:eastAsia="Verdana" w:hAnsi="Verdana" w:cs="Verdana"/>
              </w:rPr>
            </w:pPr>
            <w:r>
              <w:rPr>
                <w:rFonts w:ascii="Verdana" w:eastAsia="Verdana" w:hAnsi="Verdana" w:cs="Verdana"/>
              </w:rPr>
              <w:t>10th Jan 2025</w:t>
            </w:r>
          </w:p>
        </w:tc>
        <w:tc>
          <w:tcPr>
            <w:tcW w:w="2790" w:type="dxa"/>
            <w:tcMar>
              <w:top w:w="100" w:type="dxa"/>
              <w:left w:w="100" w:type="dxa"/>
              <w:bottom w:w="100" w:type="dxa"/>
              <w:right w:w="100" w:type="dxa"/>
            </w:tcMar>
          </w:tcPr>
          <w:p w14:paraId="65188C30" w14:textId="77777777" w:rsidR="00EF5A72" w:rsidRDefault="00000000">
            <w:pPr>
              <w:widowControl w:val="0"/>
              <w:pBdr>
                <w:top w:val="none" w:sz="0" w:space="0" w:color="auto"/>
                <w:left w:val="none" w:sz="0" w:space="0" w:color="auto"/>
                <w:bottom w:val="none" w:sz="0" w:space="0" w:color="auto"/>
                <w:right w:val="none" w:sz="0" w:space="0" w:color="auto"/>
                <w:between w:val="none" w:sz="0" w:space="0" w:color="auto"/>
              </w:pBdr>
              <w:ind w:left="0"/>
              <w:rPr>
                <w:rFonts w:ascii="Verdana" w:eastAsia="Verdana" w:hAnsi="Verdana" w:cs="Verdana"/>
              </w:rPr>
            </w:pPr>
            <w:r>
              <w:rPr>
                <w:rFonts w:ascii="Verdana" w:eastAsia="Verdana" w:hAnsi="Verdana" w:cs="Verdana"/>
              </w:rPr>
              <w:t>Bikash Sharma</w:t>
            </w:r>
          </w:p>
        </w:tc>
        <w:tc>
          <w:tcPr>
            <w:tcW w:w="3795" w:type="dxa"/>
            <w:tcMar>
              <w:top w:w="100" w:type="dxa"/>
              <w:left w:w="100" w:type="dxa"/>
              <w:bottom w:w="100" w:type="dxa"/>
              <w:right w:w="100" w:type="dxa"/>
            </w:tcMar>
          </w:tcPr>
          <w:p w14:paraId="79C6FAE8" w14:textId="77777777" w:rsidR="00EF5A72" w:rsidRDefault="00000000">
            <w:pPr>
              <w:widowControl w:val="0"/>
              <w:pBdr>
                <w:top w:val="none" w:sz="0" w:space="0" w:color="auto"/>
                <w:left w:val="none" w:sz="0" w:space="0" w:color="auto"/>
                <w:bottom w:val="none" w:sz="0" w:space="0" w:color="auto"/>
                <w:right w:val="none" w:sz="0" w:space="0" w:color="auto"/>
                <w:between w:val="none" w:sz="0" w:space="0" w:color="auto"/>
              </w:pBdr>
              <w:ind w:left="0"/>
              <w:rPr>
                <w:rFonts w:ascii="Verdana" w:eastAsia="Verdana" w:hAnsi="Verdana" w:cs="Verdana"/>
              </w:rPr>
            </w:pPr>
            <w:r>
              <w:rPr>
                <w:rFonts w:ascii="Verdana" w:eastAsia="Verdana" w:hAnsi="Verdana" w:cs="Verdana"/>
              </w:rPr>
              <w:t>Yearly review for any update.</w:t>
            </w:r>
          </w:p>
        </w:tc>
      </w:tr>
      <w:tr w:rsidR="00EF5A72" w14:paraId="5F4BD684" w14:textId="77777777">
        <w:trPr>
          <w:jc w:val="center"/>
        </w:trPr>
        <w:tc>
          <w:tcPr>
            <w:tcW w:w="1605" w:type="dxa"/>
            <w:tcMar>
              <w:top w:w="100" w:type="dxa"/>
              <w:left w:w="100" w:type="dxa"/>
              <w:bottom w:w="100" w:type="dxa"/>
              <w:right w:w="100" w:type="dxa"/>
            </w:tcMar>
          </w:tcPr>
          <w:p w14:paraId="18C8EDFA" w14:textId="77777777" w:rsidR="00EF5A72" w:rsidRDefault="00000000">
            <w:pPr>
              <w:widowControl w:val="0"/>
              <w:pBdr>
                <w:top w:val="none" w:sz="0" w:space="0" w:color="auto"/>
                <w:left w:val="none" w:sz="0" w:space="0" w:color="auto"/>
                <w:bottom w:val="none" w:sz="0" w:space="0" w:color="auto"/>
                <w:right w:val="none" w:sz="0" w:space="0" w:color="auto"/>
                <w:between w:val="none" w:sz="0" w:space="0" w:color="auto"/>
              </w:pBdr>
              <w:ind w:left="0"/>
              <w:rPr>
                <w:rFonts w:ascii="Verdana" w:eastAsia="Verdana" w:hAnsi="Verdana" w:cs="Verdana"/>
              </w:rPr>
            </w:pPr>
            <w:r>
              <w:rPr>
                <w:rFonts w:ascii="Verdana" w:eastAsia="Verdana" w:hAnsi="Verdana" w:cs="Verdana"/>
              </w:rPr>
              <w:t>1.1</w:t>
            </w:r>
          </w:p>
        </w:tc>
        <w:tc>
          <w:tcPr>
            <w:tcW w:w="1710" w:type="dxa"/>
            <w:tcMar>
              <w:top w:w="100" w:type="dxa"/>
              <w:left w:w="100" w:type="dxa"/>
              <w:bottom w:w="100" w:type="dxa"/>
              <w:right w:w="100" w:type="dxa"/>
            </w:tcMar>
          </w:tcPr>
          <w:p w14:paraId="6F5E4D1C" w14:textId="77777777" w:rsidR="00EF5A72" w:rsidRDefault="00000000">
            <w:pPr>
              <w:widowControl w:val="0"/>
              <w:pBdr>
                <w:top w:val="none" w:sz="0" w:space="0" w:color="auto"/>
                <w:left w:val="none" w:sz="0" w:space="0" w:color="auto"/>
                <w:bottom w:val="none" w:sz="0" w:space="0" w:color="auto"/>
                <w:right w:val="none" w:sz="0" w:space="0" w:color="auto"/>
                <w:between w:val="none" w:sz="0" w:space="0" w:color="auto"/>
              </w:pBdr>
              <w:ind w:left="0"/>
              <w:rPr>
                <w:rFonts w:ascii="Verdana" w:eastAsia="Verdana" w:hAnsi="Verdana" w:cs="Verdana"/>
              </w:rPr>
            </w:pPr>
            <w:r>
              <w:rPr>
                <w:rFonts w:ascii="Verdana" w:eastAsia="Verdana" w:hAnsi="Verdana" w:cs="Verdana"/>
              </w:rPr>
              <w:t>16th Jan 2025</w:t>
            </w:r>
          </w:p>
        </w:tc>
        <w:tc>
          <w:tcPr>
            <w:tcW w:w="2790" w:type="dxa"/>
            <w:tcMar>
              <w:top w:w="100" w:type="dxa"/>
              <w:left w:w="100" w:type="dxa"/>
              <w:bottom w:w="100" w:type="dxa"/>
              <w:right w:w="100" w:type="dxa"/>
            </w:tcMar>
          </w:tcPr>
          <w:p w14:paraId="0FC11B58" w14:textId="77777777" w:rsidR="00EF5A72" w:rsidRDefault="00000000">
            <w:pPr>
              <w:widowControl w:val="0"/>
              <w:pBdr>
                <w:top w:val="none" w:sz="0" w:space="0" w:color="auto"/>
                <w:left w:val="none" w:sz="0" w:space="0" w:color="auto"/>
                <w:bottom w:val="none" w:sz="0" w:space="0" w:color="auto"/>
                <w:right w:val="none" w:sz="0" w:space="0" w:color="auto"/>
                <w:between w:val="none" w:sz="0" w:space="0" w:color="auto"/>
              </w:pBdr>
              <w:ind w:left="0"/>
              <w:rPr>
                <w:rFonts w:ascii="Verdana" w:eastAsia="Verdana" w:hAnsi="Verdana" w:cs="Verdana"/>
              </w:rPr>
            </w:pPr>
            <w:r>
              <w:rPr>
                <w:rFonts w:ascii="Verdana" w:eastAsia="Verdana" w:hAnsi="Verdana" w:cs="Verdana"/>
              </w:rPr>
              <w:t>Bikash Sharma</w:t>
            </w:r>
          </w:p>
        </w:tc>
        <w:tc>
          <w:tcPr>
            <w:tcW w:w="3795" w:type="dxa"/>
            <w:tcMar>
              <w:top w:w="100" w:type="dxa"/>
              <w:left w:w="100" w:type="dxa"/>
              <w:bottom w:w="100" w:type="dxa"/>
              <w:right w:w="100" w:type="dxa"/>
            </w:tcMar>
          </w:tcPr>
          <w:p w14:paraId="7E42AF4B" w14:textId="77777777" w:rsidR="00EF5A72" w:rsidRDefault="00000000">
            <w:pPr>
              <w:widowControl w:val="0"/>
              <w:pBdr>
                <w:top w:val="none" w:sz="0" w:space="0" w:color="auto"/>
                <w:left w:val="none" w:sz="0" w:space="0" w:color="auto"/>
                <w:bottom w:val="none" w:sz="0" w:space="0" w:color="auto"/>
                <w:right w:val="none" w:sz="0" w:space="0" w:color="auto"/>
                <w:between w:val="none" w:sz="0" w:space="0" w:color="auto"/>
              </w:pBdr>
              <w:ind w:left="0"/>
              <w:rPr>
                <w:rFonts w:ascii="Verdana" w:eastAsia="Verdana" w:hAnsi="Verdana" w:cs="Verdana"/>
              </w:rPr>
            </w:pPr>
            <w:r>
              <w:rPr>
                <w:rFonts w:ascii="Verdana" w:eastAsia="Verdana" w:hAnsi="Verdana" w:cs="Verdana"/>
              </w:rPr>
              <w:t>Yearly Reviewed for any changes.</w:t>
            </w:r>
          </w:p>
        </w:tc>
      </w:tr>
      <w:tr w:rsidR="00EF5A72" w14:paraId="69B262AC" w14:textId="77777777">
        <w:trPr>
          <w:jc w:val="center"/>
        </w:trPr>
        <w:tc>
          <w:tcPr>
            <w:tcW w:w="1605" w:type="dxa"/>
            <w:tcMar>
              <w:top w:w="100" w:type="dxa"/>
              <w:left w:w="100" w:type="dxa"/>
              <w:bottom w:w="100" w:type="dxa"/>
              <w:right w:w="100" w:type="dxa"/>
            </w:tcMar>
          </w:tcPr>
          <w:p w14:paraId="7B7172F8" w14:textId="77777777" w:rsidR="00EF5A72" w:rsidRDefault="00000000">
            <w:pPr>
              <w:widowControl w:val="0"/>
              <w:pBdr>
                <w:top w:val="none" w:sz="0" w:space="0" w:color="auto"/>
                <w:left w:val="none" w:sz="0" w:space="0" w:color="auto"/>
                <w:bottom w:val="none" w:sz="0" w:space="0" w:color="auto"/>
                <w:right w:val="none" w:sz="0" w:space="0" w:color="auto"/>
                <w:between w:val="none" w:sz="0" w:space="0" w:color="auto"/>
              </w:pBdr>
              <w:ind w:left="0"/>
              <w:rPr>
                <w:rFonts w:ascii="Verdana" w:eastAsia="Verdana" w:hAnsi="Verdana" w:cs="Verdana"/>
              </w:rPr>
            </w:pPr>
            <w:r>
              <w:rPr>
                <w:rFonts w:ascii="Verdana" w:eastAsia="Verdana" w:hAnsi="Verdana" w:cs="Verdana"/>
              </w:rPr>
              <w:t>1.0</w:t>
            </w:r>
          </w:p>
        </w:tc>
        <w:tc>
          <w:tcPr>
            <w:tcW w:w="1710" w:type="dxa"/>
            <w:tcMar>
              <w:top w:w="100" w:type="dxa"/>
              <w:left w:w="100" w:type="dxa"/>
              <w:bottom w:w="100" w:type="dxa"/>
              <w:right w:w="100" w:type="dxa"/>
            </w:tcMar>
          </w:tcPr>
          <w:p w14:paraId="4A549F4F" w14:textId="77777777" w:rsidR="00EF5A72" w:rsidRDefault="00000000">
            <w:pPr>
              <w:widowControl w:val="0"/>
              <w:pBdr>
                <w:top w:val="none" w:sz="0" w:space="0" w:color="auto"/>
                <w:left w:val="none" w:sz="0" w:space="0" w:color="auto"/>
                <w:bottom w:val="none" w:sz="0" w:space="0" w:color="auto"/>
                <w:right w:val="none" w:sz="0" w:space="0" w:color="auto"/>
                <w:between w:val="none" w:sz="0" w:space="0" w:color="auto"/>
              </w:pBdr>
              <w:ind w:left="0"/>
              <w:rPr>
                <w:rFonts w:ascii="Verdana" w:eastAsia="Verdana" w:hAnsi="Verdana" w:cs="Verdana"/>
              </w:rPr>
            </w:pPr>
            <w:r>
              <w:rPr>
                <w:rFonts w:ascii="Verdana" w:eastAsia="Verdana" w:hAnsi="Verdana" w:cs="Verdana"/>
              </w:rPr>
              <w:t>8th Jan 2023</w:t>
            </w:r>
          </w:p>
        </w:tc>
        <w:tc>
          <w:tcPr>
            <w:tcW w:w="2790" w:type="dxa"/>
            <w:tcMar>
              <w:top w:w="100" w:type="dxa"/>
              <w:left w:w="100" w:type="dxa"/>
              <w:bottom w:w="100" w:type="dxa"/>
              <w:right w:w="100" w:type="dxa"/>
            </w:tcMar>
          </w:tcPr>
          <w:p w14:paraId="2B70866C" w14:textId="77777777" w:rsidR="00EF5A72" w:rsidRDefault="00000000">
            <w:pPr>
              <w:widowControl w:val="0"/>
              <w:pBdr>
                <w:top w:val="none" w:sz="0" w:space="0" w:color="auto"/>
                <w:left w:val="none" w:sz="0" w:space="0" w:color="auto"/>
                <w:bottom w:val="none" w:sz="0" w:space="0" w:color="auto"/>
                <w:right w:val="none" w:sz="0" w:space="0" w:color="auto"/>
                <w:between w:val="none" w:sz="0" w:space="0" w:color="auto"/>
              </w:pBdr>
              <w:ind w:left="0"/>
              <w:rPr>
                <w:rFonts w:ascii="Verdana" w:eastAsia="Verdana" w:hAnsi="Verdana" w:cs="Verdana"/>
              </w:rPr>
            </w:pPr>
            <w:r>
              <w:rPr>
                <w:rFonts w:ascii="Verdana" w:eastAsia="Verdana" w:hAnsi="Verdana" w:cs="Verdana"/>
              </w:rPr>
              <w:t>Bikash Sharma</w:t>
            </w:r>
          </w:p>
        </w:tc>
        <w:tc>
          <w:tcPr>
            <w:tcW w:w="3795" w:type="dxa"/>
            <w:tcMar>
              <w:top w:w="100" w:type="dxa"/>
              <w:left w:w="100" w:type="dxa"/>
              <w:bottom w:w="100" w:type="dxa"/>
              <w:right w:w="100" w:type="dxa"/>
            </w:tcMar>
          </w:tcPr>
          <w:p w14:paraId="16E1A638" w14:textId="77777777" w:rsidR="00EF5A72" w:rsidRDefault="00000000">
            <w:pPr>
              <w:widowControl w:val="0"/>
              <w:pBdr>
                <w:top w:val="none" w:sz="0" w:space="0" w:color="auto"/>
                <w:left w:val="none" w:sz="0" w:space="0" w:color="auto"/>
                <w:bottom w:val="none" w:sz="0" w:space="0" w:color="auto"/>
                <w:right w:val="none" w:sz="0" w:space="0" w:color="auto"/>
                <w:between w:val="none" w:sz="0" w:space="0" w:color="auto"/>
              </w:pBdr>
              <w:ind w:left="0"/>
              <w:rPr>
                <w:rFonts w:ascii="Verdana" w:eastAsia="Verdana" w:hAnsi="Verdana" w:cs="Verdana"/>
              </w:rPr>
            </w:pPr>
            <w:r>
              <w:rPr>
                <w:rFonts w:ascii="Verdana" w:eastAsia="Verdana" w:hAnsi="Verdana" w:cs="Verdana"/>
              </w:rPr>
              <w:t>1st Draft</w:t>
            </w:r>
          </w:p>
        </w:tc>
      </w:tr>
    </w:tbl>
    <w:p w14:paraId="7B804064" w14:textId="77777777" w:rsidR="00EF5A72" w:rsidRDefault="00EF5A72">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rPr>
          <w:rFonts w:ascii="Verdana" w:eastAsia="Verdana" w:hAnsi="Verdana" w:cs="Verdana"/>
        </w:rPr>
      </w:pPr>
    </w:p>
    <w:p w14:paraId="0233295A" w14:textId="77777777" w:rsidR="00EF5A72" w:rsidRDefault="00EF5A72">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rFonts w:ascii="Verdana" w:eastAsia="Verdana" w:hAnsi="Verdana" w:cs="Verdana"/>
        </w:rPr>
      </w:pPr>
    </w:p>
    <w:p w14:paraId="7FC62042" w14:textId="77777777" w:rsidR="00EF5A72" w:rsidRDefault="00000000">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rFonts w:ascii="Verdana" w:eastAsia="Verdana" w:hAnsi="Verdana" w:cs="Verdana"/>
          <w:b/>
        </w:rPr>
      </w:pPr>
      <w:r>
        <w:rPr>
          <w:rFonts w:ascii="Verdana" w:eastAsia="Verdana" w:hAnsi="Verdana" w:cs="Verdana"/>
          <w:b/>
        </w:rPr>
        <w:t>Approval</w:t>
      </w:r>
    </w:p>
    <w:p w14:paraId="6ED07784" w14:textId="77777777" w:rsidR="00EF5A72" w:rsidRDefault="00EF5A72">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rFonts w:ascii="Verdana" w:eastAsia="Verdana" w:hAnsi="Verdana" w:cs="Verdana"/>
          <w:sz w:val="20"/>
          <w:szCs w:val="20"/>
        </w:rPr>
      </w:pPr>
    </w:p>
    <w:tbl>
      <w:tblPr>
        <w:tblStyle w:val="afffb"/>
        <w:tblW w:w="990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15"/>
        <w:gridCol w:w="3150"/>
        <w:gridCol w:w="1935"/>
      </w:tblGrid>
      <w:tr w:rsidR="00EF5A72" w14:paraId="7067753B" w14:textId="77777777">
        <w:trPr>
          <w:jc w:val="center"/>
        </w:trPr>
        <w:tc>
          <w:tcPr>
            <w:tcW w:w="4815" w:type="dxa"/>
            <w:tcBorders>
              <w:top w:val="dotted" w:sz="4" w:space="0" w:color="000000"/>
              <w:left w:val="dotted" w:sz="4" w:space="0" w:color="000000"/>
              <w:bottom w:val="dotted" w:sz="4" w:space="0" w:color="000000"/>
              <w:right w:val="dotted" w:sz="4" w:space="0" w:color="000000"/>
            </w:tcBorders>
            <w:shd w:val="clear" w:color="auto" w:fill="00A2FF"/>
            <w:tcMar>
              <w:top w:w="0" w:type="dxa"/>
              <w:left w:w="108" w:type="dxa"/>
              <w:bottom w:w="0" w:type="dxa"/>
              <w:right w:w="108" w:type="dxa"/>
            </w:tcMar>
          </w:tcPr>
          <w:p w14:paraId="4E85F751" w14:textId="77777777" w:rsidR="00EF5A72" w:rsidRDefault="00000000">
            <w:pPr>
              <w:rPr>
                <w:rFonts w:ascii="Verdana" w:eastAsia="Verdana" w:hAnsi="Verdana" w:cs="Verdana"/>
                <w:b/>
                <w:color w:val="FFFFFF"/>
              </w:rPr>
            </w:pPr>
            <w:r>
              <w:rPr>
                <w:rFonts w:ascii="Verdana" w:eastAsia="Verdana" w:hAnsi="Verdana" w:cs="Verdana"/>
                <w:b/>
                <w:color w:val="FFFFFF"/>
              </w:rPr>
              <w:t>Name</w:t>
            </w:r>
          </w:p>
        </w:tc>
        <w:tc>
          <w:tcPr>
            <w:tcW w:w="3150" w:type="dxa"/>
            <w:tcBorders>
              <w:top w:val="dotted" w:sz="4" w:space="0" w:color="000000"/>
              <w:left w:val="dotted" w:sz="4" w:space="0" w:color="000000"/>
              <w:bottom w:val="dotted" w:sz="4" w:space="0" w:color="000000"/>
              <w:right w:val="dotted" w:sz="4" w:space="0" w:color="000000"/>
            </w:tcBorders>
            <w:shd w:val="clear" w:color="auto" w:fill="00A2FF"/>
            <w:tcMar>
              <w:top w:w="0" w:type="dxa"/>
              <w:left w:w="108" w:type="dxa"/>
              <w:bottom w:w="0" w:type="dxa"/>
              <w:right w:w="108" w:type="dxa"/>
            </w:tcMar>
          </w:tcPr>
          <w:p w14:paraId="046DBBB7" w14:textId="77777777" w:rsidR="00EF5A72" w:rsidRDefault="00000000">
            <w:pPr>
              <w:rPr>
                <w:rFonts w:ascii="Verdana" w:eastAsia="Verdana" w:hAnsi="Verdana" w:cs="Verdana"/>
                <w:b/>
                <w:color w:val="FFFFFF"/>
              </w:rPr>
            </w:pPr>
            <w:r>
              <w:rPr>
                <w:rFonts w:ascii="Verdana" w:eastAsia="Verdana" w:hAnsi="Verdana" w:cs="Verdana"/>
                <w:b/>
                <w:color w:val="FFFFFF"/>
              </w:rPr>
              <w:t>Position</w:t>
            </w:r>
          </w:p>
        </w:tc>
        <w:tc>
          <w:tcPr>
            <w:tcW w:w="1935" w:type="dxa"/>
            <w:tcBorders>
              <w:top w:val="dotted" w:sz="4" w:space="0" w:color="000000"/>
              <w:left w:val="dotted" w:sz="4" w:space="0" w:color="000000"/>
              <w:bottom w:val="dotted" w:sz="4" w:space="0" w:color="000000"/>
              <w:right w:val="dotted" w:sz="4" w:space="0" w:color="000000"/>
            </w:tcBorders>
            <w:shd w:val="clear" w:color="auto" w:fill="00A2FF"/>
            <w:tcMar>
              <w:top w:w="0" w:type="dxa"/>
              <w:left w:w="108" w:type="dxa"/>
              <w:bottom w:w="0" w:type="dxa"/>
              <w:right w:w="108" w:type="dxa"/>
            </w:tcMar>
          </w:tcPr>
          <w:p w14:paraId="00C7146E" w14:textId="77777777" w:rsidR="00EF5A72" w:rsidRDefault="00000000">
            <w:pPr>
              <w:rPr>
                <w:rFonts w:ascii="Verdana" w:eastAsia="Verdana" w:hAnsi="Verdana" w:cs="Verdana"/>
                <w:b/>
                <w:color w:val="FFFFFF"/>
              </w:rPr>
            </w:pPr>
            <w:r>
              <w:rPr>
                <w:rFonts w:ascii="Verdana" w:eastAsia="Verdana" w:hAnsi="Verdana" w:cs="Verdana"/>
                <w:b/>
                <w:color w:val="FFFFFF"/>
              </w:rPr>
              <w:t>Date</w:t>
            </w:r>
          </w:p>
        </w:tc>
      </w:tr>
      <w:tr w:rsidR="003A073D" w14:paraId="7B7566E3" w14:textId="77777777">
        <w:trPr>
          <w:jc w:val="center"/>
        </w:trPr>
        <w:tc>
          <w:tcPr>
            <w:tcW w:w="4815" w:type="dxa"/>
            <w:tcMar>
              <w:top w:w="100" w:type="dxa"/>
              <w:left w:w="100" w:type="dxa"/>
              <w:bottom w:w="100" w:type="dxa"/>
              <w:right w:w="100" w:type="dxa"/>
            </w:tcMar>
          </w:tcPr>
          <w:p w14:paraId="4829DF5C" w14:textId="1AD91092" w:rsidR="003A073D" w:rsidRDefault="003A073D" w:rsidP="003A073D">
            <w:pPr>
              <w:rPr>
                <w:rFonts w:ascii="Verdana" w:eastAsia="Verdana" w:hAnsi="Verdana" w:cs="Verdana"/>
              </w:rPr>
            </w:pPr>
            <w:r>
              <w:rPr>
                <w:rFonts w:ascii="Verdana" w:eastAsia="Verdana" w:hAnsi="Verdana" w:cs="Verdana"/>
              </w:rPr>
              <w:t>Rajeev Jaiswal</w:t>
            </w:r>
          </w:p>
        </w:tc>
        <w:tc>
          <w:tcPr>
            <w:tcW w:w="3150" w:type="dxa"/>
            <w:tcMar>
              <w:top w:w="100" w:type="dxa"/>
              <w:left w:w="100" w:type="dxa"/>
              <w:bottom w:w="100" w:type="dxa"/>
              <w:right w:w="100" w:type="dxa"/>
            </w:tcMar>
          </w:tcPr>
          <w:p w14:paraId="096AAE35" w14:textId="145D827D" w:rsidR="003A073D" w:rsidRDefault="003A073D" w:rsidP="003A073D">
            <w:pPr>
              <w:rPr>
                <w:rFonts w:ascii="Verdana" w:eastAsia="Verdana" w:hAnsi="Verdana" w:cs="Verdana"/>
              </w:rPr>
            </w:pPr>
            <w:r>
              <w:rPr>
                <w:rFonts w:ascii="Verdana" w:eastAsia="Verdana" w:hAnsi="Verdana" w:cs="Verdana"/>
              </w:rPr>
              <w:t>Director</w:t>
            </w:r>
          </w:p>
        </w:tc>
        <w:tc>
          <w:tcPr>
            <w:tcW w:w="1935" w:type="dxa"/>
            <w:tcMar>
              <w:top w:w="100" w:type="dxa"/>
              <w:left w:w="100" w:type="dxa"/>
              <w:bottom w:w="100" w:type="dxa"/>
              <w:right w:w="100" w:type="dxa"/>
            </w:tcMar>
          </w:tcPr>
          <w:p w14:paraId="5CA9DC4D" w14:textId="462B1FB0" w:rsidR="003A073D" w:rsidRDefault="003A073D" w:rsidP="003A073D">
            <w:pPr>
              <w:ind w:left="0"/>
              <w:rPr>
                <w:rFonts w:ascii="Verdana" w:eastAsia="Verdana" w:hAnsi="Verdana" w:cs="Verdana"/>
              </w:rPr>
            </w:pPr>
            <w:r>
              <w:rPr>
                <w:rFonts w:ascii="Verdana" w:eastAsia="Verdana" w:hAnsi="Verdana" w:cs="Verdana"/>
              </w:rPr>
              <w:t>1</w:t>
            </w:r>
            <w:r>
              <w:rPr>
                <w:rFonts w:ascii="Verdana" w:eastAsia="Verdana" w:hAnsi="Verdana" w:cs="Verdana"/>
              </w:rPr>
              <w:t>0</w:t>
            </w:r>
            <w:r>
              <w:rPr>
                <w:rFonts w:ascii="Verdana" w:eastAsia="Verdana" w:hAnsi="Verdana" w:cs="Verdana"/>
              </w:rPr>
              <w:t xml:space="preserve">th </w:t>
            </w:r>
            <w:r>
              <w:rPr>
                <w:rFonts w:ascii="Verdana" w:eastAsia="Verdana" w:hAnsi="Verdana" w:cs="Verdana"/>
              </w:rPr>
              <w:t>Feb</w:t>
            </w:r>
            <w:r>
              <w:rPr>
                <w:rFonts w:ascii="Verdana" w:eastAsia="Verdana" w:hAnsi="Verdana" w:cs="Verdana"/>
              </w:rPr>
              <w:t xml:space="preserve"> 202</w:t>
            </w:r>
            <w:r>
              <w:rPr>
                <w:rFonts w:ascii="Verdana" w:eastAsia="Verdana" w:hAnsi="Verdana" w:cs="Verdana"/>
              </w:rPr>
              <w:t>6</w:t>
            </w:r>
          </w:p>
        </w:tc>
      </w:tr>
      <w:tr w:rsidR="00EF5A72" w14:paraId="1FAB8128" w14:textId="77777777">
        <w:trPr>
          <w:jc w:val="center"/>
        </w:trPr>
        <w:tc>
          <w:tcPr>
            <w:tcW w:w="4815" w:type="dxa"/>
            <w:tcMar>
              <w:top w:w="100" w:type="dxa"/>
              <w:left w:w="100" w:type="dxa"/>
              <w:bottom w:w="100" w:type="dxa"/>
              <w:right w:w="100" w:type="dxa"/>
            </w:tcMar>
          </w:tcPr>
          <w:p w14:paraId="4C095E42" w14:textId="77777777" w:rsidR="00EF5A72" w:rsidRDefault="00000000">
            <w:pPr>
              <w:rPr>
                <w:rFonts w:ascii="Verdana" w:eastAsia="Verdana" w:hAnsi="Verdana" w:cs="Verdana"/>
              </w:rPr>
            </w:pPr>
            <w:r>
              <w:rPr>
                <w:rFonts w:ascii="Verdana" w:eastAsia="Verdana" w:hAnsi="Verdana" w:cs="Verdana"/>
              </w:rPr>
              <w:t>Rajeev Jaiswal</w:t>
            </w:r>
          </w:p>
        </w:tc>
        <w:tc>
          <w:tcPr>
            <w:tcW w:w="3150" w:type="dxa"/>
            <w:tcMar>
              <w:top w:w="100" w:type="dxa"/>
              <w:left w:w="100" w:type="dxa"/>
              <w:bottom w:w="100" w:type="dxa"/>
              <w:right w:w="100" w:type="dxa"/>
            </w:tcMar>
          </w:tcPr>
          <w:p w14:paraId="1E71D8BB" w14:textId="77777777" w:rsidR="00EF5A72" w:rsidRDefault="00000000">
            <w:pPr>
              <w:rPr>
                <w:rFonts w:ascii="Verdana" w:eastAsia="Verdana" w:hAnsi="Verdana" w:cs="Verdana"/>
              </w:rPr>
            </w:pPr>
            <w:r>
              <w:rPr>
                <w:rFonts w:ascii="Verdana" w:eastAsia="Verdana" w:hAnsi="Verdana" w:cs="Verdana"/>
              </w:rPr>
              <w:t>Director</w:t>
            </w:r>
          </w:p>
        </w:tc>
        <w:tc>
          <w:tcPr>
            <w:tcW w:w="1935" w:type="dxa"/>
            <w:tcMar>
              <w:top w:w="100" w:type="dxa"/>
              <w:left w:w="100" w:type="dxa"/>
              <w:bottom w:w="100" w:type="dxa"/>
              <w:right w:w="100" w:type="dxa"/>
            </w:tcMar>
          </w:tcPr>
          <w:p w14:paraId="10942DBE" w14:textId="77777777" w:rsidR="00EF5A72" w:rsidRDefault="00000000" w:rsidP="003A073D">
            <w:pPr>
              <w:ind w:left="0"/>
              <w:rPr>
                <w:rFonts w:ascii="Verdana" w:eastAsia="Verdana" w:hAnsi="Verdana" w:cs="Verdana"/>
              </w:rPr>
            </w:pPr>
            <w:r>
              <w:rPr>
                <w:rFonts w:ascii="Verdana" w:eastAsia="Verdana" w:hAnsi="Verdana" w:cs="Verdana"/>
              </w:rPr>
              <w:t>17th Jan 2025</w:t>
            </w:r>
          </w:p>
        </w:tc>
      </w:tr>
      <w:tr w:rsidR="00EF5A72" w14:paraId="6DA200F2" w14:textId="77777777">
        <w:trPr>
          <w:jc w:val="center"/>
        </w:trPr>
        <w:tc>
          <w:tcPr>
            <w:tcW w:w="4815" w:type="dxa"/>
            <w:tcMar>
              <w:top w:w="100" w:type="dxa"/>
              <w:left w:w="100" w:type="dxa"/>
              <w:bottom w:w="100" w:type="dxa"/>
              <w:right w:w="100" w:type="dxa"/>
            </w:tcMar>
          </w:tcPr>
          <w:p w14:paraId="118698AD" w14:textId="77777777" w:rsidR="00EF5A72" w:rsidRDefault="00000000">
            <w:pPr>
              <w:rPr>
                <w:rFonts w:ascii="Verdana" w:eastAsia="Verdana" w:hAnsi="Verdana" w:cs="Verdana"/>
              </w:rPr>
            </w:pPr>
            <w:r>
              <w:rPr>
                <w:rFonts w:ascii="Verdana" w:eastAsia="Verdana" w:hAnsi="Verdana" w:cs="Verdana"/>
              </w:rPr>
              <w:t>Rajeev Jaiswal</w:t>
            </w:r>
          </w:p>
        </w:tc>
        <w:tc>
          <w:tcPr>
            <w:tcW w:w="3150" w:type="dxa"/>
            <w:tcMar>
              <w:top w:w="100" w:type="dxa"/>
              <w:left w:w="100" w:type="dxa"/>
              <w:bottom w:w="100" w:type="dxa"/>
              <w:right w:w="100" w:type="dxa"/>
            </w:tcMar>
          </w:tcPr>
          <w:p w14:paraId="739BE0B6" w14:textId="77777777" w:rsidR="00EF5A72" w:rsidRDefault="00000000">
            <w:pPr>
              <w:rPr>
                <w:rFonts w:ascii="Verdana" w:eastAsia="Verdana" w:hAnsi="Verdana" w:cs="Verdana"/>
              </w:rPr>
            </w:pPr>
            <w:r>
              <w:rPr>
                <w:rFonts w:ascii="Verdana" w:eastAsia="Verdana" w:hAnsi="Verdana" w:cs="Verdana"/>
              </w:rPr>
              <w:t>Director</w:t>
            </w:r>
          </w:p>
        </w:tc>
        <w:tc>
          <w:tcPr>
            <w:tcW w:w="1935" w:type="dxa"/>
            <w:tcMar>
              <w:top w:w="100" w:type="dxa"/>
              <w:left w:w="100" w:type="dxa"/>
              <w:bottom w:w="100" w:type="dxa"/>
              <w:right w:w="100" w:type="dxa"/>
            </w:tcMar>
          </w:tcPr>
          <w:p w14:paraId="3E08AB57" w14:textId="77777777" w:rsidR="00EF5A72" w:rsidRDefault="00000000" w:rsidP="003A073D">
            <w:pPr>
              <w:ind w:left="0"/>
              <w:rPr>
                <w:rFonts w:ascii="Verdana" w:eastAsia="Verdana" w:hAnsi="Verdana" w:cs="Verdana"/>
              </w:rPr>
            </w:pPr>
            <w:r>
              <w:rPr>
                <w:rFonts w:ascii="Verdana" w:eastAsia="Verdana" w:hAnsi="Verdana" w:cs="Verdana"/>
              </w:rPr>
              <w:t>18th Jan 2024</w:t>
            </w:r>
          </w:p>
        </w:tc>
      </w:tr>
      <w:tr w:rsidR="00EF5A72" w14:paraId="5FD30C1D" w14:textId="77777777">
        <w:trPr>
          <w:jc w:val="center"/>
        </w:trPr>
        <w:tc>
          <w:tcPr>
            <w:tcW w:w="4815" w:type="dxa"/>
            <w:tcMar>
              <w:top w:w="100" w:type="dxa"/>
              <w:left w:w="100" w:type="dxa"/>
              <w:bottom w:w="100" w:type="dxa"/>
              <w:right w:w="100" w:type="dxa"/>
            </w:tcMar>
          </w:tcPr>
          <w:p w14:paraId="7B0B23AB" w14:textId="77777777" w:rsidR="00EF5A72" w:rsidRDefault="00000000">
            <w:pPr>
              <w:rPr>
                <w:rFonts w:ascii="Verdana" w:eastAsia="Verdana" w:hAnsi="Verdana" w:cs="Verdana"/>
              </w:rPr>
            </w:pPr>
            <w:r>
              <w:rPr>
                <w:rFonts w:ascii="Verdana" w:eastAsia="Verdana" w:hAnsi="Verdana" w:cs="Verdana"/>
              </w:rPr>
              <w:t>Rajeev Jaiswal</w:t>
            </w:r>
          </w:p>
        </w:tc>
        <w:tc>
          <w:tcPr>
            <w:tcW w:w="3150" w:type="dxa"/>
            <w:tcMar>
              <w:top w:w="100" w:type="dxa"/>
              <w:left w:w="100" w:type="dxa"/>
              <w:bottom w:w="100" w:type="dxa"/>
              <w:right w:w="100" w:type="dxa"/>
            </w:tcMar>
          </w:tcPr>
          <w:p w14:paraId="75645CB7" w14:textId="77777777" w:rsidR="00EF5A72" w:rsidRDefault="00000000">
            <w:pPr>
              <w:rPr>
                <w:rFonts w:ascii="Verdana" w:eastAsia="Verdana" w:hAnsi="Verdana" w:cs="Verdana"/>
              </w:rPr>
            </w:pPr>
            <w:r>
              <w:rPr>
                <w:rFonts w:ascii="Verdana" w:eastAsia="Verdana" w:hAnsi="Verdana" w:cs="Verdana"/>
              </w:rPr>
              <w:t>Director</w:t>
            </w:r>
          </w:p>
        </w:tc>
        <w:tc>
          <w:tcPr>
            <w:tcW w:w="1935" w:type="dxa"/>
            <w:tcMar>
              <w:top w:w="100" w:type="dxa"/>
              <w:left w:w="100" w:type="dxa"/>
              <w:bottom w:w="100" w:type="dxa"/>
              <w:right w:w="100" w:type="dxa"/>
            </w:tcMar>
          </w:tcPr>
          <w:p w14:paraId="2645D397" w14:textId="77777777" w:rsidR="00EF5A72" w:rsidRDefault="00000000" w:rsidP="003A073D">
            <w:pPr>
              <w:ind w:left="0"/>
              <w:rPr>
                <w:rFonts w:ascii="Verdana" w:eastAsia="Verdana" w:hAnsi="Verdana" w:cs="Verdana"/>
              </w:rPr>
            </w:pPr>
            <w:r>
              <w:rPr>
                <w:rFonts w:ascii="Verdana" w:eastAsia="Verdana" w:hAnsi="Verdana" w:cs="Verdana"/>
              </w:rPr>
              <w:t>14th Jan 2023</w:t>
            </w:r>
          </w:p>
        </w:tc>
      </w:tr>
    </w:tbl>
    <w:p w14:paraId="3E84A095" w14:textId="77777777" w:rsidR="00EF5A72" w:rsidRDefault="00EF5A72">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rFonts w:ascii="Verdana" w:eastAsia="Verdana" w:hAnsi="Verdana" w:cs="Verdana"/>
          <w:b/>
        </w:rPr>
      </w:pPr>
    </w:p>
    <w:p w14:paraId="01114B20" w14:textId="77777777" w:rsidR="00EF5A72" w:rsidRDefault="00EF5A72">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rFonts w:ascii="Verdana" w:eastAsia="Verdana" w:hAnsi="Verdana" w:cs="Verdana"/>
          <w:b/>
          <w:sz w:val="20"/>
          <w:szCs w:val="20"/>
        </w:rPr>
      </w:pPr>
    </w:p>
    <w:p w14:paraId="0F7BB9AF" w14:textId="77777777" w:rsidR="00EF5A72" w:rsidRDefault="00EF5A72">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rFonts w:ascii="Verdana" w:eastAsia="Verdana" w:hAnsi="Verdana" w:cs="Verdana"/>
          <w:b/>
        </w:rPr>
      </w:pPr>
    </w:p>
    <w:p w14:paraId="188F24C0" w14:textId="77777777" w:rsidR="00EF5A72" w:rsidRDefault="00EF5A72">
      <w:pPr>
        <w:widowControl/>
        <w:spacing w:after="0" w:line="240" w:lineRule="auto"/>
        <w:jc w:val="center"/>
        <w:rPr>
          <w:rFonts w:ascii="Verdana" w:eastAsia="Verdana" w:hAnsi="Verdana" w:cs="Verdana"/>
          <w:b/>
          <w:sz w:val="20"/>
          <w:szCs w:val="20"/>
        </w:rPr>
      </w:pPr>
    </w:p>
    <w:p w14:paraId="4681A53D" w14:textId="77777777" w:rsidR="00EF5A72" w:rsidRDefault="00EF5A72">
      <w:pPr>
        <w:widowControl/>
        <w:spacing w:after="0" w:line="240" w:lineRule="auto"/>
        <w:jc w:val="center"/>
        <w:rPr>
          <w:rFonts w:ascii="Verdana" w:eastAsia="Verdana" w:hAnsi="Verdana" w:cs="Verdana"/>
          <w:b/>
          <w:sz w:val="20"/>
          <w:szCs w:val="20"/>
        </w:rPr>
      </w:pPr>
    </w:p>
    <w:p w14:paraId="76AD024A" w14:textId="77777777" w:rsidR="00EF5A72" w:rsidRDefault="00EF5A72">
      <w:pPr>
        <w:widowControl/>
        <w:spacing w:after="0" w:line="240" w:lineRule="auto"/>
        <w:jc w:val="center"/>
        <w:rPr>
          <w:rFonts w:ascii="Verdana" w:eastAsia="Verdana" w:hAnsi="Verdana" w:cs="Verdana"/>
          <w:b/>
          <w:sz w:val="20"/>
          <w:szCs w:val="20"/>
        </w:rPr>
      </w:pPr>
    </w:p>
    <w:p w14:paraId="663DD368" w14:textId="77777777" w:rsidR="00EF5A72" w:rsidRDefault="00EF5A72">
      <w:pPr>
        <w:widowControl/>
        <w:spacing w:after="0" w:line="240" w:lineRule="auto"/>
        <w:jc w:val="center"/>
        <w:rPr>
          <w:rFonts w:ascii="Verdana" w:eastAsia="Verdana" w:hAnsi="Verdana" w:cs="Verdana"/>
          <w:b/>
          <w:sz w:val="20"/>
          <w:szCs w:val="20"/>
        </w:rPr>
      </w:pPr>
    </w:p>
    <w:p w14:paraId="6CE426CD" w14:textId="77777777" w:rsidR="00EF5A72" w:rsidRDefault="00000000">
      <w:pPr>
        <w:widowControl/>
        <w:spacing w:after="0" w:line="240" w:lineRule="auto"/>
        <w:ind w:left="1080"/>
        <w:rPr>
          <w:rFonts w:ascii="Verdana" w:eastAsia="Verdana" w:hAnsi="Verdana" w:cs="Verdana"/>
          <w:b/>
          <w:sz w:val="20"/>
          <w:szCs w:val="20"/>
        </w:rPr>
      </w:pPr>
      <w:r>
        <w:br w:type="page"/>
      </w:r>
    </w:p>
    <w:p w14:paraId="745A4E10" w14:textId="77777777" w:rsidR="003A073D" w:rsidRDefault="003A073D">
      <w:pPr>
        <w:pStyle w:val="Heading1"/>
        <w:widowControl/>
        <w:spacing w:after="0" w:line="240" w:lineRule="auto"/>
      </w:pPr>
    </w:p>
    <w:p w14:paraId="07B18781" w14:textId="0A297AD7" w:rsidR="00EF5A72" w:rsidRDefault="00000000">
      <w:pPr>
        <w:pStyle w:val="Heading1"/>
        <w:widowControl/>
        <w:spacing w:after="0" w:line="240" w:lineRule="auto"/>
      </w:pPr>
      <w:bookmarkStart w:id="1" w:name="_Toc242777590"/>
      <w:r>
        <w:t>TABLE OF CONTENTS</w:t>
      </w:r>
      <w:bookmarkEnd w:id="1"/>
    </w:p>
    <w:p w14:paraId="40A80B3F" w14:textId="77777777" w:rsidR="00EF5A72" w:rsidRDefault="00EF5A72"/>
    <w:sdt>
      <w:sdtPr>
        <w:id w:val="463961929"/>
        <w:docPartObj>
          <w:docPartGallery w:val="Table of Contents"/>
          <w:docPartUnique/>
        </w:docPartObj>
      </w:sdtPr>
      <w:sdtContent>
        <w:p w14:paraId="6469B2C3" w14:textId="142CF47E" w:rsidR="003A073D" w:rsidRDefault="00000000">
          <w:pPr>
            <w:pStyle w:val="TOC1"/>
            <w:rPr>
              <w:rFonts w:asciiTheme="minorHAnsi" w:eastAsiaTheme="minorEastAsia" w:hAnsiTheme="minorHAnsi" w:cstheme="minorBidi"/>
              <w:noProof/>
              <w:kern w:val="2"/>
              <w:lang w:val="en-AU"/>
              <w14:ligatures w14:val="standardContextual"/>
            </w:rPr>
          </w:pPr>
          <w:r>
            <w:fldChar w:fldCharType="begin"/>
          </w:r>
          <w:r>
            <w:instrText xml:space="preserve"> TOC \h \u \z \t "Heading 1,1,Heading 2,2,Heading 3,3,Heading 4,4,Heading 5,5,Heading 6,6,"</w:instrText>
          </w:r>
          <w:r>
            <w:fldChar w:fldCharType="separate"/>
          </w:r>
          <w:hyperlink w:anchor="_Toc242777590" w:history="1">
            <w:r w:rsidR="003A073D" w:rsidRPr="002A2B49">
              <w:rPr>
                <w:rStyle w:val="Hyperlink"/>
                <w:noProof/>
              </w:rPr>
              <w:t>TABLE OF CONTENTS</w:t>
            </w:r>
            <w:r w:rsidR="003A073D">
              <w:rPr>
                <w:noProof/>
                <w:webHidden/>
              </w:rPr>
              <w:tab/>
            </w:r>
            <w:r w:rsidR="003A073D">
              <w:rPr>
                <w:noProof/>
                <w:webHidden/>
              </w:rPr>
              <w:fldChar w:fldCharType="begin"/>
            </w:r>
            <w:r w:rsidR="003A073D">
              <w:rPr>
                <w:noProof/>
                <w:webHidden/>
              </w:rPr>
              <w:instrText xml:space="preserve"> PAGEREF _Toc242777590 \h </w:instrText>
            </w:r>
            <w:r w:rsidR="003A073D">
              <w:rPr>
                <w:noProof/>
                <w:webHidden/>
              </w:rPr>
            </w:r>
            <w:r w:rsidR="003A073D">
              <w:rPr>
                <w:noProof/>
                <w:webHidden/>
              </w:rPr>
              <w:fldChar w:fldCharType="separate"/>
            </w:r>
            <w:r w:rsidR="003A073D">
              <w:rPr>
                <w:noProof/>
                <w:webHidden/>
              </w:rPr>
              <w:t>2</w:t>
            </w:r>
            <w:r w:rsidR="003A073D">
              <w:rPr>
                <w:noProof/>
                <w:webHidden/>
              </w:rPr>
              <w:fldChar w:fldCharType="end"/>
            </w:r>
          </w:hyperlink>
        </w:p>
        <w:p w14:paraId="45FBE25E" w14:textId="39EC149C" w:rsidR="003A073D" w:rsidRDefault="003A073D">
          <w:pPr>
            <w:pStyle w:val="TOC1"/>
            <w:rPr>
              <w:rFonts w:asciiTheme="minorHAnsi" w:eastAsiaTheme="minorEastAsia" w:hAnsiTheme="minorHAnsi" w:cstheme="minorBidi"/>
              <w:noProof/>
              <w:kern w:val="2"/>
              <w:lang w:val="en-AU"/>
              <w14:ligatures w14:val="standardContextual"/>
            </w:rPr>
          </w:pPr>
          <w:hyperlink w:anchor="_Toc242777591" w:history="1">
            <w:r w:rsidRPr="002A2B49">
              <w:rPr>
                <w:rStyle w:val="Hyperlink"/>
                <w:noProof/>
              </w:rPr>
              <w:t>Vendor Management  Program Overview &amp; Purpose</w:t>
            </w:r>
            <w:r>
              <w:rPr>
                <w:noProof/>
                <w:webHidden/>
              </w:rPr>
              <w:tab/>
            </w:r>
            <w:r>
              <w:rPr>
                <w:noProof/>
                <w:webHidden/>
              </w:rPr>
              <w:fldChar w:fldCharType="begin"/>
            </w:r>
            <w:r>
              <w:rPr>
                <w:noProof/>
                <w:webHidden/>
              </w:rPr>
              <w:instrText xml:space="preserve"> PAGEREF _Toc242777591 \h </w:instrText>
            </w:r>
            <w:r>
              <w:rPr>
                <w:noProof/>
                <w:webHidden/>
              </w:rPr>
            </w:r>
            <w:r>
              <w:rPr>
                <w:noProof/>
                <w:webHidden/>
              </w:rPr>
              <w:fldChar w:fldCharType="separate"/>
            </w:r>
            <w:r>
              <w:rPr>
                <w:noProof/>
                <w:webHidden/>
              </w:rPr>
              <w:t>3</w:t>
            </w:r>
            <w:r>
              <w:rPr>
                <w:noProof/>
                <w:webHidden/>
              </w:rPr>
              <w:fldChar w:fldCharType="end"/>
            </w:r>
          </w:hyperlink>
        </w:p>
        <w:p w14:paraId="6B280FD4" w14:textId="0A7AE874" w:rsidR="003A073D" w:rsidRDefault="003A073D">
          <w:pPr>
            <w:pStyle w:val="TOC3"/>
            <w:tabs>
              <w:tab w:val="right" w:pos="9912"/>
            </w:tabs>
            <w:rPr>
              <w:rFonts w:asciiTheme="minorHAnsi" w:eastAsiaTheme="minorEastAsia" w:hAnsiTheme="minorHAnsi" w:cstheme="minorBidi"/>
              <w:noProof/>
              <w:kern w:val="2"/>
              <w:lang w:val="en-AU"/>
              <w14:ligatures w14:val="standardContextual"/>
            </w:rPr>
          </w:pPr>
          <w:hyperlink w:anchor="_Toc242777592" w:history="1">
            <w:r w:rsidRPr="002A2B49">
              <w:rPr>
                <w:rStyle w:val="Hyperlink"/>
                <w:noProof/>
              </w:rPr>
              <w:t>PURPOSE</w:t>
            </w:r>
            <w:r>
              <w:rPr>
                <w:noProof/>
                <w:webHidden/>
              </w:rPr>
              <w:tab/>
            </w:r>
            <w:r>
              <w:rPr>
                <w:noProof/>
                <w:webHidden/>
              </w:rPr>
              <w:fldChar w:fldCharType="begin"/>
            </w:r>
            <w:r>
              <w:rPr>
                <w:noProof/>
                <w:webHidden/>
              </w:rPr>
              <w:instrText xml:space="preserve"> PAGEREF _Toc242777592 \h </w:instrText>
            </w:r>
            <w:r>
              <w:rPr>
                <w:noProof/>
                <w:webHidden/>
              </w:rPr>
            </w:r>
            <w:r>
              <w:rPr>
                <w:noProof/>
                <w:webHidden/>
              </w:rPr>
              <w:fldChar w:fldCharType="separate"/>
            </w:r>
            <w:r>
              <w:rPr>
                <w:noProof/>
                <w:webHidden/>
              </w:rPr>
              <w:t>3</w:t>
            </w:r>
            <w:r>
              <w:rPr>
                <w:noProof/>
                <w:webHidden/>
              </w:rPr>
              <w:fldChar w:fldCharType="end"/>
            </w:r>
          </w:hyperlink>
        </w:p>
        <w:p w14:paraId="7AF4367E" w14:textId="7C1AC684" w:rsidR="003A073D" w:rsidRDefault="003A073D">
          <w:pPr>
            <w:pStyle w:val="TOC3"/>
            <w:tabs>
              <w:tab w:val="right" w:pos="9912"/>
            </w:tabs>
            <w:rPr>
              <w:rFonts w:asciiTheme="minorHAnsi" w:eastAsiaTheme="minorEastAsia" w:hAnsiTheme="minorHAnsi" w:cstheme="minorBidi"/>
              <w:noProof/>
              <w:kern w:val="2"/>
              <w:lang w:val="en-AU"/>
              <w14:ligatures w14:val="standardContextual"/>
            </w:rPr>
          </w:pPr>
          <w:hyperlink w:anchor="_Toc242777593" w:history="1">
            <w:r w:rsidRPr="002A2B49">
              <w:rPr>
                <w:rStyle w:val="Hyperlink"/>
                <w:noProof/>
              </w:rPr>
              <w:t>OVERSIGHT</w:t>
            </w:r>
            <w:r>
              <w:rPr>
                <w:noProof/>
                <w:webHidden/>
              </w:rPr>
              <w:tab/>
            </w:r>
            <w:r>
              <w:rPr>
                <w:noProof/>
                <w:webHidden/>
              </w:rPr>
              <w:fldChar w:fldCharType="begin"/>
            </w:r>
            <w:r>
              <w:rPr>
                <w:noProof/>
                <w:webHidden/>
              </w:rPr>
              <w:instrText xml:space="preserve"> PAGEREF _Toc242777593 \h </w:instrText>
            </w:r>
            <w:r>
              <w:rPr>
                <w:noProof/>
                <w:webHidden/>
              </w:rPr>
            </w:r>
            <w:r>
              <w:rPr>
                <w:noProof/>
                <w:webHidden/>
              </w:rPr>
              <w:fldChar w:fldCharType="separate"/>
            </w:r>
            <w:r>
              <w:rPr>
                <w:noProof/>
                <w:webHidden/>
              </w:rPr>
              <w:t>3</w:t>
            </w:r>
            <w:r>
              <w:rPr>
                <w:noProof/>
                <w:webHidden/>
              </w:rPr>
              <w:fldChar w:fldCharType="end"/>
            </w:r>
          </w:hyperlink>
        </w:p>
        <w:p w14:paraId="05DB70FE" w14:textId="41244232" w:rsidR="003A073D" w:rsidRDefault="003A073D">
          <w:pPr>
            <w:pStyle w:val="TOC1"/>
            <w:rPr>
              <w:rFonts w:asciiTheme="minorHAnsi" w:eastAsiaTheme="minorEastAsia" w:hAnsiTheme="minorHAnsi" w:cstheme="minorBidi"/>
              <w:noProof/>
              <w:kern w:val="2"/>
              <w:lang w:val="en-AU"/>
              <w14:ligatures w14:val="standardContextual"/>
            </w:rPr>
          </w:pPr>
          <w:hyperlink w:anchor="_Toc242777594" w:history="1">
            <w:r w:rsidRPr="002A2B49">
              <w:rPr>
                <w:rStyle w:val="Hyperlink"/>
                <w:noProof/>
              </w:rPr>
              <w:t>POLICIES &amp; PROGRAM RESPONSIBILITY</w:t>
            </w:r>
            <w:r>
              <w:rPr>
                <w:noProof/>
                <w:webHidden/>
              </w:rPr>
              <w:tab/>
            </w:r>
            <w:r>
              <w:rPr>
                <w:noProof/>
                <w:webHidden/>
              </w:rPr>
              <w:fldChar w:fldCharType="begin"/>
            </w:r>
            <w:r>
              <w:rPr>
                <w:noProof/>
                <w:webHidden/>
              </w:rPr>
              <w:instrText xml:space="preserve"> PAGEREF _Toc242777594 \h </w:instrText>
            </w:r>
            <w:r>
              <w:rPr>
                <w:noProof/>
                <w:webHidden/>
              </w:rPr>
            </w:r>
            <w:r>
              <w:rPr>
                <w:noProof/>
                <w:webHidden/>
              </w:rPr>
              <w:fldChar w:fldCharType="separate"/>
            </w:r>
            <w:r>
              <w:rPr>
                <w:noProof/>
                <w:webHidden/>
              </w:rPr>
              <w:t>3</w:t>
            </w:r>
            <w:r>
              <w:rPr>
                <w:noProof/>
                <w:webHidden/>
              </w:rPr>
              <w:fldChar w:fldCharType="end"/>
            </w:r>
          </w:hyperlink>
        </w:p>
        <w:p w14:paraId="4E8A856F" w14:textId="1D0C350C" w:rsidR="003A073D" w:rsidRDefault="003A073D">
          <w:pPr>
            <w:pStyle w:val="TOC1"/>
            <w:rPr>
              <w:rFonts w:asciiTheme="minorHAnsi" w:eastAsiaTheme="minorEastAsia" w:hAnsiTheme="minorHAnsi" w:cstheme="minorBidi"/>
              <w:noProof/>
              <w:kern w:val="2"/>
              <w:lang w:val="en-AU"/>
              <w14:ligatures w14:val="standardContextual"/>
            </w:rPr>
          </w:pPr>
          <w:hyperlink w:anchor="_Toc242777595" w:history="1">
            <w:r w:rsidRPr="002A2B49">
              <w:rPr>
                <w:rStyle w:val="Hyperlink"/>
                <w:noProof/>
              </w:rPr>
              <w:t>VENDOR RANKINGS</w:t>
            </w:r>
            <w:r>
              <w:rPr>
                <w:noProof/>
                <w:webHidden/>
              </w:rPr>
              <w:tab/>
            </w:r>
            <w:r>
              <w:rPr>
                <w:noProof/>
                <w:webHidden/>
              </w:rPr>
              <w:fldChar w:fldCharType="begin"/>
            </w:r>
            <w:r>
              <w:rPr>
                <w:noProof/>
                <w:webHidden/>
              </w:rPr>
              <w:instrText xml:space="preserve"> PAGEREF _Toc242777595 \h </w:instrText>
            </w:r>
            <w:r>
              <w:rPr>
                <w:noProof/>
                <w:webHidden/>
              </w:rPr>
            </w:r>
            <w:r>
              <w:rPr>
                <w:noProof/>
                <w:webHidden/>
              </w:rPr>
              <w:fldChar w:fldCharType="separate"/>
            </w:r>
            <w:r>
              <w:rPr>
                <w:noProof/>
                <w:webHidden/>
              </w:rPr>
              <w:t>4</w:t>
            </w:r>
            <w:r>
              <w:rPr>
                <w:noProof/>
                <w:webHidden/>
              </w:rPr>
              <w:fldChar w:fldCharType="end"/>
            </w:r>
          </w:hyperlink>
        </w:p>
        <w:p w14:paraId="332DBFE7" w14:textId="777C8FCF" w:rsidR="003A073D" w:rsidRDefault="003A073D">
          <w:pPr>
            <w:pStyle w:val="TOC1"/>
            <w:rPr>
              <w:rFonts w:asciiTheme="minorHAnsi" w:eastAsiaTheme="minorEastAsia" w:hAnsiTheme="minorHAnsi" w:cstheme="minorBidi"/>
              <w:noProof/>
              <w:kern w:val="2"/>
              <w:lang w:val="en-AU"/>
              <w14:ligatures w14:val="standardContextual"/>
            </w:rPr>
          </w:pPr>
          <w:hyperlink w:anchor="_Toc242777596" w:history="1">
            <w:r w:rsidRPr="002A2B49">
              <w:rPr>
                <w:rStyle w:val="Hyperlink"/>
                <w:noProof/>
              </w:rPr>
              <w:t>VENDOR RISK MANAGEMENT &amp; MITIGATION</w:t>
            </w:r>
            <w:r>
              <w:rPr>
                <w:noProof/>
                <w:webHidden/>
              </w:rPr>
              <w:tab/>
            </w:r>
            <w:r>
              <w:rPr>
                <w:noProof/>
                <w:webHidden/>
              </w:rPr>
              <w:fldChar w:fldCharType="begin"/>
            </w:r>
            <w:r>
              <w:rPr>
                <w:noProof/>
                <w:webHidden/>
              </w:rPr>
              <w:instrText xml:space="preserve"> PAGEREF _Toc242777596 \h </w:instrText>
            </w:r>
            <w:r>
              <w:rPr>
                <w:noProof/>
                <w:webHidden/>
              </w:rPr>
            </w:r>
            <w:r>
              <w:rPr>
                <w:noProof/>
                <w:webHidden/>
              </w:rPr>
              <w:fldChar w:fldCharType="separate"/>
            </w:r>
            <w:r>
              <w:rPr>
                <w:noProof/>
                <w:webHidden/>
              </w:rPr>
              <w:t>4</w:t>
            </w:r>
            <w:r>
              <w:rPr>
                <w:noProof/>
                <w:webHidden/>
              </w:rPr>
              <w:fldChar w:fldCharType="end"/>
            </w:r>
          </w:hyperlink>
        </w:p>
        <w:p w14:paraId="7D27CCD1" w14:textId="7AF510A0" w:rsidR="003A073D" w:rsidRDefault="003A073D">
          <w:pPr>
            <w:pStyle w:val="TOC3"/>
            <w:tabs>
              <w:tab w:val="right" w:pos="9912"/>
            </w:tabs>
            <w:rPr>
              <w:rFonts w:asciiTheme="minorHAnsi" w:eastAsiaTheme="minorEastAsia" w:hAnsiTheme="minorHAnsi" w:cstheme="minorBidi"/>
              <w:noProof/>
              <w:kern w:val="2"/>
              <w:lang w:val="en-AU"/>
              <w14:ligatures w14:val="standardContextual"/>
            </w:rPr>
          </w:pPr>
          <w:hyperlink w:anchor="_Toc242777597" w:history="1">
            <w:r w:rsidRPr="002A2B49">
              <w:rPr>
                <w:rStyle w:val="Hyperlink"/>
                <w:noProof/>
              </w:rPr>
              <w:t>RISK ASSESSMENT AND MITIGATION</w:t>
            </w:r>
            <w:r>
              <w:rPr>
                <w:noProof/>
                <w:webHidden/>
              </w:rPr>
              <w:tab/>
            </w:r>
            <w:r>
              <w:rPr>
                <w:noProof/>
                <w:webHidden/>
              </w:rPr>
              <w:fldChar w:fldCharType="begin"/>
            </w:r>
            <w:r>
              <w:rPr>
                <w:noProof/>
                <w:webHidden/>
              </w:rPr>
              <w:instrText xml:space="preserve"> PAGEREF _Toc242777597 \h </w:instrText>
            </w:r>
            <w:r>
              <w:rPr>
                <w:noProof/>
                <w:webHidden/>
              </w:rPr>
            </w:r>
            <w:r>
              <w:rPr>
                <w:noProof/>
                <w:webHidden/>
              </w:rPr>
              <w:fldChar w:fldCharType="separate"/>
            </w:r>
            <w:r>
              <w:rPr>
                <w:noProof/>
                <w:webHidden/>
              </w:rPr>
              <w:t>4</w:t>
            </w:r>
            <w:r>
              <w:rPr>
                <w:noProof/>
                <w:webHidden/>
              </w:rPr>
              <w:fldChar w:fldCharType="end"/>
            </w:r>
          </w:hyperlink>
        </w:p>
        <w:p w14:paraId="7AE96E33" w14:textId="5C53B06C" w:rsidR="003A073D" w:rsidRDefault="003A073D">
          <w:pPr>
            <w:pStyle w:val="TOC3"/>
            <w:tabs>
              <w:tab w:val="right" w:pos="9912"/>
            </w:tabs>
            <w:rPr>
              <w:rFonts w:asciiTheme="minorHAnsi" w:eastAsiaTheme="minorEastAsia" w:hAnsiTheme="minorHAnsi" w:cstheme="minorBidi"/>
              <w:noProof/>
              <w:kern w:val="2"/>
              <w:lang w:val="en-AU"/>
              <w14:ligatures w14:val="standardContextual"/>
            </w:rPr>
          </w:pPr>
          <w:hyperlink w:anchor="_Toc242777598" w:history="1">
            <w:r w:rsidRPr="002A2B49">
              <w:rPr>
                <w:rStyle w:val="Hyperlink"/>
                <w:noProof/>
              </w:rPr>
              <w:t>RISK MITIGATION CONTROLS</w:t>
            </w:r>
            <w:r>
              <w:rPr>
                <w:noProof/>
                <w:webHidden/>
              </w:rPr>
              <w:tab/>
            </w:r>
            <w:r>
              <w:rPr>
                <w:noProof/>
                <w:webHidden/>
              </w:rPr>
              <w:fldChar w:fldCharType="begin"/>
            </w:r>
            <w:r>
              <w:rPr>
                <w:noProof/>
                <w:webHidden/>
              </w:rPr>
              <w:instrText xml:space="preserve"> PAGEREF _Toc242777598 \h </w:instrText>
            </w:r>
            <w:r>
              <w:rPr>
                <w:noProof/>
                <w:webHidden/>
              </w:rPr>
            </w:r>
            <w:r>
              <w:rPr>
                <w:noProof/>
                <w:webHidden/>
              </w:rPr>
              <w:fldChar w:fldCharType="separate"/>
            </w:r>
            <w:r>
              <w:rPr>
                <w:noProof/>
                <w:webHidden/>
              </w:rPr>
              <w:t>4</w:t>
            </w:r>
            <w:r>
              <w:rPr>
                <w:noProof/>
                <w:webHidden/>
              </w:rPr>
              <w:fldChar w:fldCharType="end"/>
            </w:r>
          </w:hyperlink>
        </w:p>
        <w:p w14:paraId="68359987" w14:textId="5DCA5AB7" w:rsidR="003A073D" w:rsidRDefault="003A073D">
          <w:pPr>
            <w:pStyle w:val="TOC1"/>
            <w:rPr>
              <w:rFonts w:asciiTheme="minorHAnsi" w:eastAsiaTheme="minorEastAsia" w:hAnsiTheme="minorHAnsi" w:cstheme="minorBidi"/>
              <w:noProof/>
              <w:kern w:val="2"/>
              <w:lang w:val="en-AU"/>
              <w14:ligatures w14:val="standardContextual"/>
            </w:rPr>
          </w:pPr>
          <w:hyperlink w:anchor="_Toc242777599" w:history="1">
            <w:r w:rsidRPr="002A2B49">
              <w:rPr>
                <w:rStyle w:val="Hyperlink"/>
                <w:noProof/>
              </w:rPr>
              <w:t>DUE DILIGENCE &amp; REQUIRED DOCUMENTATION</w:t>
            </w:r>
            <w:r>
              <w:rPr>
                <w:noProof/>
                <w:webHidden/>
              </w:rPr>
              <w:tab/>
            </w:r>
            <w:r>
              <w:rPr>
                <w:noProof/>
                <w:webHidden/>
              </w:rPr>
              <w:fldChar w:fldCharType="begin"/>
            </w:r>
            <w:r>
              <w:rPr>
                <w:noProof/>
                <w:webHidden/>
              </w:rPr>
              <w:instrText xml:space="preserve"> PAGEREF _Toc242777599 \h </w:instrText>
            </w:r>
            <w:r>
              <w:rPr>
                <w:noProof/>
                <w:webHidden/>
              </w:rPr>
            </w:r>
            <w:r>
              <w:rPr>
                <w:noProof/>
                <w:webHidden/>
              </w:rPr>
              <w:fldChar w:fldCharType="separate"/>
            </w:r>
            <w:r>
              <w:rPr>
                <w:noProof/>
                <w:webHidden/>
              </w:rPr>
              <w:t>5</w:t>
            </w:r>
            <w:r>
              <w:rPr>
                <w:noProof/>
                <w:webHidden/>
              </w:rPr>
              <w:fldChar w:fldCharType="end"/>
            </w:r>
          </w:hyperlink>
        </w:p>
        <w:p w14:paraId="6B4FCBBF" w14:textId="23963AC3" w:rsidR="003A073D" w:rsidRDefault="003A073D">
          <w:pPr>
            <w:pStyle w:val="TOC1"/>
            <w:rPr>
              <w:rFonts w:asciiTheme="minorHAnsi" w:eastAsiaTheme="minorEastAsia" w:hAnsiTheme="minorHAnsi" w:cstheme="minorBidi"/>
              <w:noProof/>
              <w:kern w:val="2"/>
              <w:lang w:val="en-AU"/>
              <w14:ligatures w14:val="standardContextual"/>
            </w:rPr>
          </w:pPr>
          <w:hyperlink w:anchor="_Toc242777600" w:history="1">
            <w:r w:rsidRPr="002A2B49">
              <w:rPr>
                <w:rStyle w:val="Hyperlink"/>
                <w:noProof/>
              </w:rPr>
              <w:t>VENDOR SELECTION</w:t>
            </w:r>
            <w:r>
              <w:rPr>
                <w:noProof/>
                <w:webHidden/>
              </w:rPr>
              <w:tab/>
            </w:r>
            <w:r>
              <w:rPr>
                <w:noProof/>
                <w:webHidden/>
              </w:rPr>
              <w:fldChar w:fldCharType="begin"/>
            </w:r>
            <w:r>
              <w:rPr>
                <w:noProof/>
                <w:webHidden/>
              </w:rPr>
              <w:instrText xml:space="preserve"> PAGEREF _Toc242777600 \h </w:instrText>
            </w:r>
            <w:r>
              <w:rPr>
                <w:noProof/>
                <w:webHidden/>
              </w:rPr>
            </w:r>
            <w:r>
              <w:rPr>
                <w:noProof/>
                <w:webHidden/>
              </w:rPr>
              <w:fldChar w:fldCharType="separate"/>
            </w:r>
            <w:r>
              <w:rPr>
                <w:noProof/>
                <w:webHidden/>
              </w:rPr>
              <w:t>5</w:t>
            </w:r>
            <w:r>
              <w:rPr>
                <w:noProof/>
                <w:webHidden/>
              </w:rPr>
              <w:fldChar w:fldCharType="end"/>
            </w:r>
          </w:hyperlink>
        </w:p>
        <w:p w14:paraId="6F485A51" w14:textId="54D5FBEE" w:rsidR="003A073D" w:rsidRDefault="003A073D">
          <w:pPr>
            <w:pStyle w:val="TOC1"/>
            <w:rPr>
              <w:rFonts w:asciiTheme="minorHAnsi" w:eastAsiaTheme="minorEastAsia" w:hAnsiTheme="minorHAnsi" w:cstheme="minorBidi"/>
              <w:noProof/>
              <w:kern w:val="2"/>
              <w:lang w:val="en-AU"/>
              <w14:ligatures w14:val="standardContextual"/>
            </w:rPr>
          </w:pPr>
          <w:hyperlink w:anchor="_Toc242777601" w:history="1">
            <w:r w:rsidRPr="002A2B49">
              <w:rPr>
                <w:rStyle w:val="Hyperlink"/>
                <w:noProof/>
              </w:rPr>
              <w:t>CONTRACTING</w:t>
            </w:r>
            <w:r>
              <w:rPr>
                <w:noProof/>
                <w:webHidden/>
              </w:rPr>
              <w:tab/>
            </w:r>
            <w:r>
              <w:rPr>
                <w:noProof/>
                <w:webHidden/>
              </w:rPr>
              <w:fldChar w:fldCharType="begin"/>
            </w:r>
            <w:r>
              <w:rPr>
                <w:noProof/>
                <w:webHidden/>
              </w:rPr>
              <w:instrText xml:space="preserve"> PAGEREF _Toc242777601 \h </w:instrText>
            </w:r>
            <w:r>
              <w:rPr>
                <w:noProof/>
                <w:webHidden/>
              </w:rPr>
            </w:r>
            <w:r>
              <w:rPr>
                <w:noProof/>
                <w:webHidden/>
              </w:rPr>
              <w:fldChar w:fldCharType="separate"/>
            </w:r>
            <w:r>
              <w:rPr>
                <w:noProof/>
                <w:webHidden/>
              </w:rPr>
              <w:t>5</w:t>
            </w:r>
            <w:r>
              <w:rPr>
                <w:noProof/>
                <w:webHidden/>
              </w:rPr>
              <w:fldChar w:fldCharType="end"/>
            </w:r>
          </w:hyperlink>
        </w:p>
        <w:p w14:paraId="45BDC00C" w14:textId="0B33FC0D" w:rsidR="003A073D" w:rsidRDefault="003A073D">
          <w:pPr>
            <w:pStyle w:val="TOC1"/>
            <w:rPr>
              <w:rFonts w:asciiTheme="minorHAnsi" w:eastAsiaTheme="minorEastAsia" w:hAnsiTheme="minorHAnsi" w:cstheme="minorBidi"/>
              <w:noProof/>
              <w:kern w:val="2"/>
              <w:lang w:val="en-AU"/>
              <w14:ligatures w14:val="standardContextual"/>
            </w:rPr>
          </w:pPr>
          <w:hyperlink w:anchor="_Toc242777602" w:history="1">
            <w:r w:rsidRPr="002A2B49">
              <w:rPr>
                <w:rStyle w:val="Hyperlink"/>
                <w:noProof/>
              </w:rPr>
              <w:t>LEGAL REVIEW, CONFIDENTIALITY &amp; NON-DISCLOSURE</w:t>
            </w:r>
            <w:r>
              <w:rPr>
                <w:noProof/>
                <w:webHidden/>
              </w:rPr>
              <w:tab/>
            </w:r>
            <w:r>
              <w:rPr>
                <w:noProof/>
                <w:webHidden/>
              </w:rPr>
              <w:fldChar w:fldCharType="begin"/>
            </w:r>
            <w:r>
              <w:rPr>
                <w:noProof/>
                <w:webHidden/>
              </w:rPr>
              <w:instrText xml:space="preserve"> PAGEREF _Toc242777602 \h </w:instrText>
            </w:r>
            <w:r>
              <w:rPr>
                <w:noProof/>
                <w:webHidden/>
              </w:rPr>
            </w:r>
            <w:r>
              <w:rPr>
                <w:noProof/>
                <w:webHidden/>
              </w:rPr>
              <w:fldChar w:fldCharType="separate"/>
            </w:r>
            <w:r>
              <w:rPr>
                <w:noProof/>
                <w:webHidden/>
              </w:rPr>
              <w:t>6</w:t>
            </w:r>
            <w:r>
              <w:rPr>
                <w:noProof/>
                <w:webHidden/>
              </w:rPr>
              <w:fldChar w:fldCharType="end"/>
            </w:r>
          </w:hyperlink>
        </w:p>
        <w:p w14:paraId="1B7D787C" w14:textId="4FD5DE72" w:rsidR="003A073D" w:rsidRDefault="003A073D">
          <w:pPr>
            <w:pStyle w:val="TOC1"/>
            <w:rPr>
              <w:rFonts w:asciiTheme="minorHAnsi" w:eastAsiaTheme="minorEastAsia" w:hAnsiTheme="minorHAnsi" w:cstheme="minorBidi"/>
              <w:noProof/>
              <w:kern w:val="2"/>
              <w:lang w:val="en-AU"/>
              <w14:ligatures w14:val="standardContextual"/>
            </w:rPr>
          </w:pPr>
          <w:hyperlink w:anchor="_Toc242777603" w:history="1">
            <w:r w:rsidRPr="002A2B49">
              <w:rPr>
                <w:rStyle w:val="Hyperlink"/>
                <w:noProof/>
              </w:rPr>
              <w:t>MONITORING</w:t>
            </w:r>
            <w:r>
              <w:rPr>
                <w:noProof/>
                <w:webHidden/>
              </w:rPr>
              <w:tab/>
            </w:r>
            <w:r>
              <w:rPr>
                <w:noProof/>
                <w:webHidden/>
              </w:rPr>
              <w:fldChar w:fldCharType="begin"/>
            </w:r>
            <w:r>
              <w:rPr>
                <w:noProof/>
                <w:webHidden/>
              </w:rPr>
              <w:instrText xml:space="preserve"> PAGEREF _Toc242777603 \h </w:instrText>
            </w:r>
            <w:r>
              <w:rPr>
                <w:noProof/>
                <w:webHidden/>
              </w:rPr>
            </w:r>
            <w:r>
              <w:rPr>
                <w:noProof/>
                <w:webHidden/>
              </w:rPr>
              <w:fldChar w:fldCharType="separate"/>
            </w:r>
            <w:r>
              <w:rPr>
                <w:noProof/>
                <w:webHidden/>
              </w:rPr>
              <w:t>6</w:t>
            </w:r>
            <w:r>
              <w:rPr>
                <w:noProof/>
                <w:webHidden/>
              </w:rPr>
              <w:fldChar w:fldCharType="end"/>
            </w:r>
          </w:hyperlink>
        </w:p>
        <w:p w14:paraId="3783E4A5" w14:textId="1BF9D385" w:rsidR="003A073D" w:rsidRDefault="003A073D">
          <w:pPr>
            <w:pStyle w:val="TOC1"/>
            <w:rPr>
              <w:rFonts w:asciiTheme="minorHAnsi" w:eastAsiaTheme="minorEastAsia" w:hAnsiTheme="minorHAnsi" w:cstheme="minorBidi"/>
              <w:noProof/>
              <w:kern w:val="2"/>
              <w:lang w:val="en-AU"/>
              <w14:ligatures w14:val="standardContextual"/>
            </w:rPr>
          </w:pPr>
          <w:hyperlink w:anchor="_Toc242777604" w:history="1">
            <w:r w:rsidRPr="002A2B49">
              <w:rPr>
                <w:rStyle w:val="Hyperlink"/>
                <w:noProof/>
              </w:rPr>
              <w:t>REPORTING</w:t>
            </w:r>
            <w:r>
              <w:rPr>
                <w:noProof/>
                <w:webHidden/>
              </w:rPr>
              <w:tab/>
            </w:r>
            <w:r>
              <w:rPr>
                <w:noProof/>
                <w:webHidden/>
              </w:rPr>
              <w:fldChar w:fldCharType="begin"/>
            </w:r>
            <w:r>
              <w:rPr>
                <w:noProof/>
                <w:webHidden/>
              </w:rPr>
              <w:instrText xml:space="preserve"> PAGEREF _Toc242777604 \h </w:instrText>
            </w:r>
            <w:r>
              <w:rPr>
                <w:noProof/>
                <w:webHidden/>
              </w:rPr>
            </w:r>
            <w:r>
              <w:rPr>
                <w:noProof/>
                <w:webHidden/>
              </w:rPr>
              <w:fldChar w:fldCharType="separate"/>
            </w:r>
            <w:r>
              <w:rPr>
                <w:noProof/>
                <w:webHidden/>
              </w:rPr>
              <w:t>7</w:t>
            </w:r>
            <w:r>
              <w:rPr>
                <w:noProof/>
                <w:webHidden/>
              </w:rPr>
              <w:fldChar w:fldCharType="end"/>
            </w:r>
          </w:hyperlink>
        </w:p>
        <w:p w14:paraId="59E75F3D" w14:textId="26B918CD" w:rsidR="003A073D" w:rsidRDefault="003A073D">
          <w:pPr>
            <w:pStyle w:val="TOC1"/>
            <w:rPr>
              <w:rFonts w:asciiTheme="minorHAnsi" w:eastAsiaTheme="minorEastAsia" w:hAnsiTheme="minorHAnsi" w:cstheme="minorBidi"/>
              <w:noProof/>
              <w:kern w:val="2"/>
              <w:lang w:val="en-AU"/>
              <w14:ligatures w14:val="standardContextual"/>
            </w:rPr>
          </w:pPr>
          <w:hyperlink w:anchor="_Toc242777605" w:history="1">
            <w:r w:rsidRPr="002A2B49">
              <w:rPr>
                <w:rStyle w:val="Hyperlink"/>
                <w:noProof/>
              </w:rPr>
              <w:t>DISCIPLINARY ACTION &amp; TERMINATION</w:t>
            </w:r>
            <w:r>
              <w:rPr>
                <w:noProof/>
                <w:webHidden/>
              </w:rPr>
              <w:tab/>
            </w:r>
            <w:r>
              <w:rPr>
                <w:noProof/>
                <w:webHidden/>
              </w:rPr>
              <w:fldChar w:fldCharType="begin"/>
            </w:r>
            <w:r>
              <w:rPr>
                <w:noProof/>
                <w:webHidden/>
              </w:rPr>
              <w:instrText xml:space="preserve"> PAGEREF _Toc242777605 \h </w:instrText>
            </w:r>
            <w:r>
              <w:rPr>
                <w:noProof/>
                <w:webHidden/>
              </w:rPr>
            </w:r>
            <w:r>
              <w:rPr>
                <w:noProof/>
                <w:webHidden/>
              </w:rPr>
              <w:fldChar w:fldCharType="separate"/>
            </w:r>
            <w:r>
              <w:rPr>
                <w:noProof/>
                <w:webHidden/>
              </w:rPr>
              <w:t>7</w:t>
            </w:r>
            <w:r>
              <w:rPr>
                <w:noProof/>
                <w:webHidden/>
              </w:rPr>
              <w:fldChar w:fldCharType="end"/>
            </w:r>
          </w:hyperlink>
        </w:p>
        <w:p w14:paraId="545727C7" w14:textId="1C3D8413" w:rsidR="00EF5A72" w:rsidRDefault="00000000">
          <w:pPr>
            <w:tabs>
              <w:tab w:val="right" w:pos="12000"/>
            </w:tabs>
            <w:spacing w:before="60" w:after="0" w:line="240" w:lineRule="auto"/>
            <w:rPr>
              <w:rFonts w:ascii="Arial" w:eastAsia="Arial" w:hAnsi="Arial" w:cs="Arial"/>
              <w:b/>
              <w:color w:val="000000"/>
              <w:sz w:val="22"/>
              <w:szCs w:val="22"/>
            </w:rPr>
          </w:pPr>
          <w:r>
            <w:fldChar w:fldCharType="end"/>
          </w:r>
        </w:p>
      </w:sdtContent>
    </w:sdt>
    <w:p w14:paraId="2E9DD0D4" w14:textId="77777777" w:rsidR="00EF5A72" w:rsidRDefault="00EF5A72">
      <w:pPr>
        <w:pStyle w:val="Heading1"/>
        <w:widowControl/>
        <w:spacing w:after="0" w:line="240" w:lineRule="auto"/>
      </w:pPr>
      <w:bookmarkStart w:id="2" w:name="_heading=h.ean2pol2l15k" w:colFirst="0" w:colLast="0"/>
      <w:bookmarkEnd w:id="2"/>
    </w:p>
    <w:p w14:paraId="776133DF" w14:textId="77777777" w:rsidR="00EF5A72" w:rsidRDefault="00000000">
      <w:pPr>
        <w:pStyle w:val="Heading1"/>
        <w:widowControl/>
        <w:spacing w:after="0" w:line="240" w:lineRule="auto"/>
      </w:pPr>
      <w:bookmarkStart w:id="3" w:name="_heading=h.x79brm50uhun" w:colFirst="0" w:colLast="0"/>
      <w:bookmarkEnd w:id="3"/>
      <w:r>
        <w:br w:type="page"/>
      </w:r>
    </w:p>
    <w:p w14:paraId="670FF090" w14:textId="63B48BFE" w:rsidR="00EF5A72" w:rsidRDefault="00000000">
      <w:pPr>
        <w:pStyle w:val="Heading1"/>
        <w:widowControl/>
        <w:spacing w:after="0" w:line="240" w:lineRule="auto"/>
      </w:pPr>
      <w:bookmarkStart w:id="4" w:name="_Toc242777591"/>
      <w:r>
        <w:lastRenderedPageBreak/>
        <w:t xml:space="preserve">Vendor </w:t>
      </w:r>
      <w:r w:rsidR="003A073D">
        <w:t>Management Program</w:t>
      </w:r>
      <w:r>
        <w:t xml:space="preserve"> Overview &amp; Purpose</w:t>
      </w:r>
      <w:bookmarkEnd w:id="4"/>
    </w:p>
    <w:p w14:paraId="698CBC92" w14:textId="77777777" w:rsidR="00EF5A72" w:rsidRDefault="00EF5A72">
      <w:pPr>
        <w:widowControl/>
        <w:spacing w:after="0" w:line="240" w:lineRule="auto"/>
        <w:rPr>
          <w:rFonts w:ascii="Verdana" w:eastAsia="Verdana" w:hAnsi="Verdana" w:cs="Verdana"/>
          <w:sz w:val="20"/>
          <w:szCs w:val="20"/>
        </w:rPr>
      </w:pPr>
    </w:p>
    <w:p w14:paraId="572B1B55" w14:textId="77777777" w:rsidR="00EF5A72" w:rsidRDefault="00000000">
      <w:pPr>
        <w:widowControl/>
        <w:spacing w:after="0" w:line="240" w:lineRule="auto"/>
        <w:rPr>
          <w:rFonts w:ascii="Verdana" w:eastAsia="Verdana" w:hAnsi="Verdana" w:cs="Verdana"/>
          <w:sz w:val="20"/>
          <w:szCs w:val="20"/>
        </w:rPr>
      </w:pPr>
      <w:r>
        <w:rPr>
          <w:rFonts w:ascii="Verdana" w:eastAsia="Verdana" w:hAnsi="Verdana" w:cs="Verdana"/>
          <w:sz w:val="20"/>
          <w:szCs w:val="20"/>
        </w:rPr>
        <w:t>Zediant Technologies strives for continuous improvement in all aspects of its business and achieves this through mutually beneficial partnerships with vendors. Effective vendor relationship management is essential to mitigate risks, control costs, and gain competitive advantages.</w:t>
      </w:r>
    </w:p>
    <w:p w14:paraId="2BC4741B" w14:textId="77777777" w:rsidR="00EF5A72" w:rsidRDefault="00EF5A72">
      <w:pPr>
        <w:widowControl/>
        <w:spacing w:after="0" w:line="240" w:lineRule="auto"/>
        <w:rPr>
          <w:rFonts w:ascii="Verdana" w:eastAsia="Verdana" w:hAnsi="Verdana" w:cs="Verdana"/>
          <w:sz w:val="20"/>
          <w:szCs w:val="20"/>
        </w:rPr>
      </w:pPr>
    </w:p>
    <w:p w14:paraId="2AA6FCB0" w14:textId="77777777" w:rsidR="00EF5A72" w:rsidRDefault="00000000">
      <w:pPr>
        <w:pStyle w:val="Heading3"/>
        <w:widowControl/>
        <w:spacing w:after="0" w:line="240" w:lineRule="auto"/>
      </w:pPr>
      <w:bookmarkStart w:id="5" w:name="_Toc242777592"/>
      <w:r>
        <w:t>PURPOSE</w:t>
      </w:r>
      <w:bookmarkEnd w:id="5"/>
    </w:p>
    <w:p w14:paraId="6338AD59" w14:textId="77777777" w:rsidR="00EF5A72" w:rsidRDefault="00EF5A72">
      <w:pPr>
        <w:widowControl/>
        <w:spacing w:after="0" w:line="240" w:lineRule="auto"/>
        <w:rPr>
          <w:rFonts w:ascii="Verdana" w:eastAsia="Verdana" w:hAnsi="Verdana" w:cs="Verdana"/>
          <w:sz w:val="20"/>
          <w:szCs w:val="20"/>
        </w:rPr>
      </w:pPr>
    </w:p>
    <w:p w14:paraId="105F1F21" w14:textId="77777777" w:rsidR="00EF5A72" w:rsidRDefault="00000000">
      <w:pPr>
        <w:widowControl/>
        <w:spacing w:after="0" w:line="240" w:lineRule="auto"/>
        <w:rPr>
          <w:rFonts w:ascii="Verdana" w:eastAsia="Verdana" w:hAnsi="Verdana" w:cs="Verdana"/>
          <w:sz w:val="20"/>
          <w:szCs w:val="20"/>
        </w:rPr>
      </w:pPr>
      <w:r>
        <w:rPr>
          <w:rFonts w:ascii="Verdana" w:eastAsia="Verdana" w:hAnsi="Verdana" w:cs="Verdana"/>
          <w:sz w:val="20"/>
          <w:szCs w:val="20"/>
        </w:rPr>
        <w:t>The purpose of this policy is to ensure that Zediant Technologies effectively manages its relationships with vendors who provide services, products, and systems. Vendor managers play a crucial role in safeguarding the company by adhering to the following principles:</w:t>
      </w:r>
    </w:p>
    <w:p w14:paraId="2C39E8C4" w14:textId="77777777" w:rsidR="00EF5A72" w:rsidRDefault="00EF5A72">
      <w:pPr>
        <w:widowControl/>
        <w:spacing w:after="0" w:line="240" w:lineRule="auto"/>
        <w:rPr>
          <w:rFonts w:ascii="Verdana" w:eastAsia="Verdana" w:hAnsi="Verdana" w:cs="Verdana"/>
          <w:sz w:val="20"/>
          <w:szCs w:val="20"/>
        </w:rPr>
      </w:pPr>
    </w:p>
    <w:p w14:paraId="44A36E63" w14:textId="77777777" w:rsidR="00EF5A72" w:rsidRDefault="00000000">
      <w:pPr>
        <w:widowControl/>
        <w:numPr>
          <w:ilvl w:val="0"/>
          <w:numId w:val="10"/>
        </w:numPr>
        <w:spacing w:after="0" w:line="240" w:lineRule="auto"/>
        <w:rPr>
          <w:rFonts w:ascii="Verdana" w:eastAsia="Verdana" w:hAnsi="Verdana" w:cs="Verdana"/>
          <w:sz w:val="20"/>
          <w:szCs w:val="20"/>
        </w:rPr>
      </w:pPr>
      <w:r>
        <w:rPr>
          <w:rFonts w:ascii="Verdana" w:eastAsia="Verdana" w:hAnsi="Verdana" w:cs="Verdana"/>
          <w:b/>
          <w:sz w:val="20"/>
          <w:szCs w:val="20"/>
        </w:rPr>
        <w:t>Business and Strategy</w:t>
      </w:r>
      <w:r>
        <w:rPr>
          <w:rFonts w:ascii="Verdana" w:eastAsia="Verdana" w:hAnsi="Verdana" w:cs="Verdana"/>
          <w:sz w:val="20"/>
          <w:szCs w:val="20"/>
        </w:rPr>
        <w:t>: Vendor selection aligns with the company's overall business requirements and strategic plans.</w:t>
      </w:r>
    </w:p>
    <w:p w14:paraId="4CCE94DF" w14:textId="77777777" w:rsidR="00EF5A72" w:rsidRDefault="00000000">
      <w:pPr>
        <w:widowControl/>
        <w:numPr>
          <w:ilvl w:val="0"/>
          <w:numId w:val="10"/>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Expertise</w:t>
      </w:r>
      <w:r>
        <w:rPr>
          <w:rFonts w:ascii="Verdana" w:eastAsia="Verdana" w:hAnsi="Verdana" w:cs="Verdana"/>
          <w:sz w:val="20"/>
          <w:szCs w:val="20"/>
        </w:rPr>
        <w:t>: Internal managers possess the necessary expertise to manage and oversee vendor relationships effectively.</w:t>
      </w:r>
    </w:p>
    <w:p w14:paraId="2C31FEBD" w14:textId="77777777" w:rsidR="00EF5A72" w:rsidRDefault="00000000">
      <w:pPr>
        <w:widowControl/>
        <w:numPr>
          <w:ilvl w:val="0"/>
          <w:numId w:val="10"/>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Functionality</w:t>
      </w:r>
      <w:r>
        <w:rPr>
          <w:rFonts w:ascii="Verdana" w:eastAsia="Verdana" w:hAnsi="Verdana" w:cs="Verdana"/>
          <w:sz w:val="20"/>
          <w:szCs w:val="20"/>
        </w:rPr>
        <w:t>: Potential vendors are evaluated based on the criticality and scope of their products or services.</w:t>
      </w:r>
    </w:p>
    <w:p w14:paraId="15065654" w14:textId="77777777" w:rsidR="00EF5A72" w:rsidRDefault="00000000">
      <w:pPr>
        <w:widowControl/>
        <w:numPr>
          <w:ilvl w:val="0"/>
          <w:numId w:val="10"/>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Risk Management</w:t>
      </w:r>
      <w:r>
        <w:rPr>
          <w:rFonts w:ascii="Verdana" w:eastAsia="Verdana" w:hAnsi="Verdana" w:cs="Verdana"/>
          <w:sz w:val="20"/>
          <w:szCs w:val="20"/>
        </w:rPr>
        <w:t>: Risks associated with vendor engagement are rigorously assessed and identified.</w:t>
      </w:r>
    </w:p>
    <w:p w14:paraId="2F2A9ACD" w14:textId="77777777" w:rsidR="00EF5A72" w:rsidRDefault="00000000">
      <w:pPr>
        <w:widowControl/>
        <w:numPr>
          <w:ilvl w:val="0"/>
          <w:numId w:val="10"/>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Monitoring</w:t>
      </w:r>
      <w:r>
        <w:rPr>
          <w:rFonts w:ascii="Verdana" w:eastAsia="Verdana" w:hAnsi="Verdana" w:cs="Verdana"/>
          <w:sz w:val="20"/>
          <w:szCs w:val="20"/>
        </w:rPr>
        <w:t>: Ongoing oversight programs monitor contractual performance and mitigate identified risks.</w:t>
      </w:r>
    </w:p>
    <w:p w14:paraId="10816C7D" w14:textId="77777777" w:rsidR="00EF5A72" w:rsidRDefault="00000000">
      <w:pPr>
        <w:pStyle w:val="Heading3"/>
        <w:widowControl/>
        <w:spacing w:after="0" w:line="240" w:lineRule="auto"/>
      </w:pPr>
      <w:bookmarkStart w:id="6" w:name="_Toc242777593"/>
      <w:r>
        <w:t>OVERSIGHT</w:t>
      </w:r>
      <w:bookmarkEnd w:id="6"/>
    </w:p>
    <w:p w14:paraId="502BABDC" w14:textId="77777777" w:rsidR="00EF5A72" w:rsidRDefault="00EF5A72">
      <w:pPr>
        <w:widowControl/>
        <w:spacing w:after="0" w:line="240" w:lineRule="auto"/>
        <w:rPr>
          <w:rFonts w:ascii="Verdana" w:eastAsia="Verdana" w:hAnsi="Verdana" w:cs="Verdana"/>
          <w:sz w:val="20"/>
          <w:szCs w:val="20"/>
        </w:rPr>
      </w:pPr>
    </w:p>
    <w:p w14:paraId="366CF675" w14:textId="77777777" w:rsidR="00EF5A72" w:rsidRDefault="00000000">
      <w:pPr>
        <w:widowControl/>
        <w:spacing w:after="0" w:line="240" w:lineRule="auto"/>
        <w:rPr>
          <w:rFonts w:ascii="Verdana" w:eastAsia="Verdana" w:hAnsi="Verdana" w:cs="Verdana"/>
          <w:sz w:val="20"/>
          <w:szCs w:val="20"/>
        </w:rPr>
      </w:pPr>
      <w:r>
        <w:rPr>
          <w:rFonts w:ascii="Verdana" w:eastAsia="Verdana" w:hAnsi="Verdana" w:cs="Verdana"/>
          <w:sz w:val="20"/>
          <w:szCs w:val="20"/>
        </w:rPr>
        <w:t>The Vendor Management Office (VMO) and designated functional leaders oversee vendor performance in specific areas. The VMO is responsible for:</w:t>
      </w:r>
    </w:p>
    <w:p w14:paraId="0D37B0B0" w14:textId="77777777" w:rsidR="00EF5A72" w:rsidRDefault="00EF5A72">
      <w:pPr>
        <w:widowControl/>
        <w:spacing w:after="0" w:line="240" w:lineRule="auto"/>
        <w:rPr>
          <w:rFonts w:ascii="Verdana" w:eastAsia="Verdana" w:hAnsi="Verdana" w:cs="Verdana"/>
          <w:sz w:val="20"/>
          <w:szCs w:val="20"/>
        </w:rPr>
      </w:pPr>
    </w:p>
    <w:p w14:paraId="2C81FCAC" w14:textId="77777777" w:rsidR="00EF5A72" w:rsidRDefault="00000000">
      <w:pPr>
        <w:widowControl/>
        <w:numPr>
          <w:ilvl w:val="0"/>
          <w:numId w:val="13"/>
        </w:numPr>
        <w:spacing w:after="0" w:line="240" w:lineRule="auto"/>
        <w:rPr>
          <w:rFonts w:ascii="Verdana" w:eastAsia="Verdana" w:hAnsi="Verdana" w:cs="Verdana"/>
          <w:sz w:val="20"/>
          <w:szCs w:val="20"/>
        </w:rPr>
      </w:pPr>
      <w:r>
        <w:rPr>
          <w:rFonts w:ascii="Verdana" w:eastAsia="Verdana" w:hAnsi="Verdana" w:cs="Verdana"/>
          <w:b/>
          <w:sz w:val="20"/>
          <w:szCs w:val="20"/>
        </w:rPr>
        <w:t>Determine</w:t>
      </w:r>
      <w:r>
        <w:rPr>
          <w:rFonts w:ascii="Verdana" w:eastAsia="Verdana" w:hAnsi="Verdana" w:cs="Verdana"/>
          <w:sz w:val="20"/>
          <w:szCs w:val="20"/>
        </w:rPr>
        <w:t>: Determining the cost of required products or services.</w:t>
      </w:r>
    </w:p>
    <w:p w14:paraId="11C716D2" w14:textId="77777777" w:rsidR="00EF5A72" w:rsidRDefault="00000000">
      <w:pPr>
        <w:widowControl/>
        <w:numPr>
          <w:ilvl w:val="0"/>
          <w:numId w:val="13"/>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Identify</w:t>
      </w:r>
      <w:r>
        <w:rPr>
          <w:rFonts w:ascii="Verdana" w:eastAsia="Verdana" w:hAnsi="Verdana" w:cs="Verdana"/>
          <w:sz w:val="20"/>
          <w:szCs w:val="20"/>
        </w:rPr>
        <w:t>: Identifying potential vendors that align with the company's strategic goals.</w:t>
      </w:r>
    </w:p>
    <w:p w14:paraId="1DC342F1" w14:textId="77777777" w:rsidR="00EF5A72" w:rsidRDefault="00000000">
      <w:pPr>
        <w:widowControl/>
        <w:numPr>
          <w:ilvl w:val="0"/>
          <w:numId w:val="13"/>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Vet</w:t>
      </w:r>
      <w:r>
        <w:rPr>
          <w:rFonts w:ascii="Verdana" w:eastAsia="Verdana" w:hAnsi="Verdana" w:cs="Verdana"/>
          <w:sz w:val="20"/>
          <w:szCs w:val="20"/>
        </w:rPr>
        <w:t xml:space="preserve">: Ensuring vendors possess the necessary capabilities </w:t>
      </w:r>
      <w:proofErr w:type="gramStart"/>
      <w:r>
        <w:rPr>
          <w:rFonts w:ascii="Verdana" w:eastAsia="Verdana" w:hAnsi="Verdana" w:cs="Verdana"/>
          <w:sz w:val="20"/>
          <w:szCs w:val="20"/>
        </w:rPr>
        <w:t>and service</w:t>
      </w:r>
      <w:proofErr w:type="gramEnd"/>
      <w:r>
        <w:rPr>
          <w:rFonts w:ascii="Verdana" w:eastAsia="Verdana" w:hAnsi="Verdana" w:cs="Verdana"/>
          <w:sz w:val="20"/>
          <w:szCs w:val="20"/>
        </w:rPr>
        <w:t xml:space="preserve"> experience.</w:t>
      </w:r>
    </w:p>
    <w:p w14:paraId="66EBEA6B" w14:textId="77777777" w:rsidR="00EF5A72" w:rsidRDefault="00000000">
      <w:pPr>
        <w:widowControl/>
        <w:numPr>
          <w:ilvl w:val="0"/>
          <w:numId w:val="13"/>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Negotiate</w:t>
      </w:r>
      <w:r>
        <w:rPr>
          <w:rFonts w:ascii="Verdana" w:eastAsia="Verdana" w:hAnsi="Verdana" w:cs="Verdana"/>
          <w:sz w:val="20"/>
          <w:szCs w:val="20"/>
        </w:rPr>
        <w:t xml:space="preserve">: Conducting negotiations </w:t>
      </w:r>
      <w:proofErr w:type="gramStart"/>
      <w:r>
        <w:rPr>
          <w:rFonts w:ascii="Verdana" w:eastAsia="Verdana" w:hAnsi="Verdana" w:cs="Verdana"/>
          <w:sz w:val="20"/>
          <w:szCs w:val="20"/>
        </w:rPr>
        <w:t>for</w:t>
      </w:r>
      <w:proofErr w:type="gramEnd"/>
      <w:r>
        <w:rPr>
          <w:rFonts w:ascii="Verdana" w:eastAsia="Verdana" w:hAnsi="Verdana" w:cs="Verdana"/>
          <w:sz w:val="20"/>
          <w:szCs w:val="20"/>
        </w:rPr>
        <w:t xml:space="preserve"> preferential pricing or new products/services.</w:t>
      </w:r>
    </w:p>
    <w:p w14:paraId="038D0708" w14:textId="77777777" w:rsidR="00EF5A72" w:rsidRDefault="00000000">
      <w:pPr>
        <w:widowControl/>
        <w:numPr>
          <w:ilvl w:val="0"/>
          <w:numId w:val="13"/>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Manage</w:t>
      </w:r>
      <w:r>
        <w:rPr>
          <w:rFonts w:ascii="Verdana" w:eastAsia="Verdana" w:hAnsi="Verdana" w:cs="Verdana"/>
          <w:sz w:val="20"/>
          <w:szCs w:val="20"/>
        </w:rPr>
        <w:t>: Managing schedules, risk mitigation, and ongoing performance management.</w:t>
      </w:r>
    </w:p>
    <w:p w14:paraId="5453708F" w14:textId="77777777" w:rsidR="00EF5A72" w:rsidRDefault="00000000">
      <w:pPr>
        <w:widowControl/>
        <w:numPr>
          <w:ilvl w:val="0"/>
          <w:numId w:val="13"/>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Mitigate</w:t>
      </w:r>
      <w:r>
        <w:rPr>
          <w:rFonts w:ascii="Verdana" w:eastAsia="Verdana" w:hAnsi="Verdana" w:cs="Verdana"/>
          <w:sz w:val="20"/>
          <w:szCs w:val="20"/>
        </w:rPr>
        <w:t>: Possible risk exposures.</w:t>
      </w:r>
    </w:p>
    <w:p w14:paraId="2011EFB3" w14:textId="77777777" w:rsidR="00EF5A72" w:rsidRDefault="00000000">
      <w:pPr>
        <w:widowControl/>
        <w:numPr>
          <w:ilvl w:val="0"/>
          <w:numId w:val="13"/>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Research</w:t>
      </w:r>
      <w:r>
        <w:rPr>
          <w:rFonts w:ascii="Verdana" w:eastAsia="Verdana" w:hAnsi="Verdana" w:cs="Verdana"/>
          <w:sz w:val="20"/>
          <w:szCs w:val="20"/>
        </w:rPr>
        <w:t>: Assessing the financial reputation, current condition, and experience of vendors.</w:t>
      </w:r>
    </w:p>
    <w:p w14:paraId="6B256005" w14:textId="77777777" w:rsidR="00EF5A72" w:rsidRDefault="00000000">
      <w:pPr>
        <w:widowControl/>
        <w:numPr>
          <w:ilvl w:val="0"/>
          <w:numId w:val="13"/>
        </w:numPr>
        <w:spacing w:after="0" w:line="240" w:lineRule="auto"/>
        <w:rPr>
          <w:rFonts w:ascii="Verdana" w:eastAsia="Verdana" w:hAnsi="Verdana" w:cs="Verdana"/>
          <w:sz w:val="20"/>
          <w:szCs w:val="20"/>
        </w:rPr>
      </w:pPr>
      <w:r>
        <w:rPr>
          <w:rFonts w:ascii="Verdana" w:eastAsia="Verdana" w:hAnsi="Verdana" w:cs="Verdana"/>
          <w:b/>
          <w:sz w:val="20"/>
          <w:szCs w:val="20"/>
        </w:rPr>
        <w:t>Verify</w:t>
      </w:r>
      <w:r>
        <w:rPr>
          <w:rFonts w:ascii="Verdana" w:eastAsia="Verdana" w:hAnsi="Verdana" w:cs="Verdana"/>
          <w:sz w:val="20"/>
          <w:szCs w:val="20"/>
        </w:rPr>
        <w:t>: Level of experience and expertise of the principals of the vendor.</w:t>
      </w:r>
    </w:p>
    <w:p w14:paraId="13E19049" w14:textId="77777777" w:rsidR="00EF5A72" w:rsidRDefault="00000000">
      <w:pPr>
        <w:widowControl/>
        <w:numPr>
          <w:ilvl w:val="0"/>
          <w:numId w:val="13"/>
        </w:numPr>
        <w:spacing w:after="0" w:line="240" w:lineRule="auto"/>
        <w:rPr>
          <w:rFonts w:ascii="Verdana" w:eastAsia="Verdana" w:hAnsi="Verdana" w:cs="Verdana"/>
          <w:sz w:val="20"/>
          <w:szCs w:val="20"/>
        </w:rPr>
      </w:pPr>
      <w:r>
        <w:rPr>
          <w:rFonts w:ascii="Verdana" w:eastAsia="Verdana" w:hAnsi="Verdana" w:cs="Verdana"/>
          <w:b/>
          <w:sz w:val="20"/>
          <w:szCs w:val="20"/>
        </w:rPr>
        <w:t>Confirm</w:t>
      </w:r>
      <w:r>
        <w:rPr>
          <w:rFonts w:ascii="Verdana" w:eastAsia="Verdana" w:hAnsi="Verdana" w:cs="Verdana"/>
          <w:sz w:val="20"/>
          <w:szCs w:val="20"/>
        </w:rPr>
        <w:t>: Company's confidence in the vendor.</w:t>
      </w:r>
    </w:p>
    <w:p w14:paraId="4F690CB9" w14:textId="77777777" w:rsidR="00EF5A72" w:rsidRDefault="00EF5A72">
      <w:pPr>
        <w:widowControl/>
        <w:spacing w:after="0" w:line="240" w:lineRule="auto"/>
        <w:rPr>
          <w:rFonts w:ascii="Verdana" w:eastAsia="Verdana" w:hAnsi="Verdana" w:cs="Verdana"/>
          <w:sz w:val="20"/>
          <w:szCs w:val="20"/>
        </w:rPr>
      </w:pPr>
    </w:p>
    <w:p w14:paraId="0C19E4A2" w14:textId="77777777" w:rsidR="00EF5A72" w:rsidRDefault="00000000">
      <w:pPr>
        <w:pStyle w:val="Heading1"/>
        <w:widowControl/>
        <w:spacing w:after="0" w:line="240" w:lineRule="auto"/>
      </w:pPr>
      <w:bookmarkStart w:id="7" w:name="_Toc242777594"/>
      <w:r>
        <w:t>POLICIES &amp; PROGRAM RESPONSIBILITY</w:t>
      </w:r>
      <w:bookmarkEnd w:id="7"/>
    </w:p>
    <w:p w14:paraId="5864E302" w14:textId="77777777" w:rsidR="00EF5A72" w:rsidRDefault="00EF5A72">
      <w:pPr>
        <w:widowControl/>
        <w:spacing w:after="0" w:line="240" w:lineRule="auto"/>
        <w:rPr>
          <w:rFonts w:ascii="Verdana" w:eastAsia="Verdana" w:hAnsi="Verdana" w:cs="Verdana"/>
          <w:sz w:val="20"/>
          <w:szCs w:val="20"/>
        </w:rPr>
      </w:pPr>
    </w:p>
    <w:p w14:paraId="31659A7F" w14:textId="77777777" w:rsidR="00EF5A72" w:rsidRDefault="00000000">
      <w:pPr>
        <w:widowControl/>
        <w:spacing w:after="0" w:line="240" w:lineRule="auto"/>
        <w:rPr>
          <w:rFonts w:ascii="Verdana" w:eastAsia="Verdana" w:hAnsi="Verdana" w:cs="Verdana"/>
          <w:sz w:val="20"/>
          <w:szCs w:val="20"/>
        </w:rPr>
      </w:pPr>
      <w:r>
        <w:rPr>
          <w:rFonts w:ascii="Verdana" w:eastAsia="Verdana" w:hAnsi="Verdana" w:cs="Verdana"/>
          <w:sz w:val="20"/>
          <w:szCs w:val="20"/>
        </w:rPr>
        <w:t>Zediant Technologies requires vendor managers to negotiate or execute contracts in accordance with the policies governing vendor relationships. The following policies apply:</w:t>
      </w:r>
    </w:p>
    <w:p w14:paraId="21E4BAA7" w14:textId="77777777" w:rsidR="00EF5A72" w:rsidRDefault="00EF5A72">
      <w:pPr>
        <w:widowControl/>
        <w:spacing w:after="0" w:line="240" w:lineRule="auto"/>
        <w:rPr>
          <w:rFonts w:ascii="Verdana" w:eastAsia="Verdana" w:hAnsi="Verdana" w:cs="Verdana"/>
          <w:sz w:val="20"/>
          <w:szCs w:val="20"/>
        </w:rPr>
      </w:pPr>
    </w:p>
    <w:p w14:paraId="5ED95B34" w14:textId="77777777" w:rsidR="00EF5A72" w:rsidRDefault="00000000">
      <w:pPr>
        <w:widowControl/>
        <w:numPr>
          <w:ilvl w:val="0"/>
          <w:numId w:val="5"/>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Enforceability</w:t>
      </w:r>
      <w:r>
        <w:rPr>
          <w:rFonts w:ascii="Verdana" w:eastAsia="Verdana" w:hAnsi="Verdana" w:cs="Verdana"/>
          <w:sz w:val="20"/>
          <w:szCs w:val="20"/>
        </w:rPr>
        <w:t>: The Vendor Management Office is responsible for enforcing this policy.</w:t>
      </w:r>
    </w:p>
    <w:p w14:paraId="538CBF1E" w14:textId="77777777" w:rsidR="00EF5A72" w:rsidRDefault="00000000">
      <w:pPr>
        <w:widowControl/>
        <w:numPr>
          <w:ilvl w:val="0"/>
          <w:numId w:val="5"/>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Conflict Resolution</w:t>
      </w:r>
      <w:r>
        <w:rPr>
          <w:rFonts w:ascii="Verdana" w:eastAsia="Verdana" w:hAnsi="Verdana" w:cs="Verdana"/>
          <w:sz w:val="20"/>
          <w:szCs w:val="20"/>
        </w:rPr>
        <w:t>: The Vendor Oversight Committee resolves conflicts related to this policy, and other policies take secondary precedence unless granted an exception.</w:t>
      </w:r>
    </w:p>
    <w:p w14:paraId="598CCAF2" w14:textId="77777777" w:rsidR="00EF5A72" w:rsidRDefault="00000000">
      <w:pPr>
        <w:widowControl/>
        <w:numPr>
          <w:ilvl w:val="0"/>
          <w:numId w:val="5"/>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Regulatory Review</w:t>
      </w:r>
      <w:r>
        <w:rPr>
          <w:rFonts w:ascii="Verdana" w:eastAsia="Verdana" w:hAnsi="Verdana" w:cs="Verdana"/>
          <w:sz w:val="20"/>
          <w:szCs w:val="20"/>
        </w:rPr>
        <w:t>: Vendors are subject to consistent regulatory review as determined by the VMO.</w:t>
      </w:r>
    </w:p>
    <w:p w14:paraId="09529915" w14:textId="77777777" w:rsidR="00EF5A72" w:rsidRDefault="00000000">
      <w:pPr>
        <w:widowControl/>
        <w:numPr>
          <w:ilvl w:val="0"/>
          <w:numId w:val="5"/>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Exception/Exemptions</w:t>
      </w:r>
      <w:r>
        <w:rPr>
          <w:rFonts w:ascii="Verdana" w:eastAsia="Verdana" w:hAnsi="Verdana" w:cs="Verdana"/>
          <w:sz w:val="20"/>
          <w:szCs w:val="20"/>
        </w:rPr>
        <w:t>: Companies deemed of low importance or posing substantial risks may be exempt from specific documentation and legal review requirements. Exemptions must be submitted in writing.</w:t>
      </w:r>
    </w:p>
    <w:p w14:paraId="40C77513" w14:textId="77777777" w:rsidR="00EF5A72" w:rsidRDefault="00000000">
      <w:pPr>
        <w:pStyle w:val="Heading1"/>
        <w:widowControl/>
        <w:spacing w:after="0" w:line="240" w:lineRule="auto"/>
        <w:rPr>
          <w:rFonts w:ascii="Verdana" w:eastAsia="Verdana" w:hAnsi="Verdana" w:cs="Verdana"/>
          <w:sz w:val="20"/>
          <w:szCs w:val="20"/>
        </w:rPr>
      </w:pPr>
      <w:bookmarkStart w:id="8" w:name="_Toc242777595"/>
      <w:r>
        <w:lastRenderedPageBreak/>
        <w:t>VENDOR RANKINGS</w:t>
      </w:r>
      <w:bookmarkEnd w:id="8"/>
    </w:p>
    <w:p w14:paraId="3EE32774" w14:textId="77777777" w:rsidR="00EF5A72" w:rsidRDefault="00EF5A72">
      <w:pPr>
        <w:widowControl/>
        <w:spacing w:after="0" w:line="240" w:lineRule="auto"/>
        <w:rPr>
          <w:rFonts w:ascii="Verdana" w:eastAsia="Verdana" w:hAnsi="Verdana" w:cs="Verdana"/>
          <w:sz w:val="20"/>
          <w:szCs w:val="20"/>
        </w:rPr>
      </w:pPr>
    </w:p>
    <w:p w14:paraId="2B6D66E8" w14:textId="77777777" w:rsidR="00EF5A72" w:rsidRDefault="00000000">
      <w:pPr>
        <w:widowControl/>
        <w:spacing w:after="0" w:line="240" w:lineRule="auto"/>
        <w:rPr>
          <w:rFonts w:ascii="Verdana" w:eastAsia="Verdana" w:hAnsi="Verdana" w:cs="Verdana"/>
          <w:sz w:val="20"/>
          <w:szCs w:val="20"/>
        </w:rPr>
      </w:pPr>
      <w:r>
        <w:rPr>
          <w:rFonts w:ascii="Verdana" w:eastAsia="Verdana" w:hAnsi="Verdana" w:cs="Verdana"/>
          <w:sz w:val="20"/>
          <w:szCs w:val="20"/>
        </w:rPr>
        <w:t xml:space="preserve">Vendors are classified based on criticality, with the </w:t>
      </w:r>
      <w:proofErr w:type="gramStart"/>
      <w:r>
        <w:rPr>
          <w:rFonts w:ascii="Verdana" w:eastAsia="Verdana" w:hAnsi="Verdana" w:cs="Verdana"/>
          <w:sz w:val="20"/>
          <w:szCs w:val="20"/>
        </w:rPr>
        <w:t>highest oversight</w:t>
      </w:r>
      <w:proofErr w:type="gramEnd"/>
      <w:r>
        <w:rPr>
          <w:rFonts w:ascii="Verdana" w:eastAsia="Verdana" w:hAnsi="Verdana" w:cs="Verdana"/>
          <w:sz w:val="20"/>
          <w:szCs w:val="20"/>
        </w:rPr>
        <w:t xml:space="preserve"> concentration given to level one vendors. The vendor rankings are as follows:</w:t>
      </w:r>
    </w:p>
    <w:p w14:paraId="1F119CFD" w14:textId="77777777" w:rsidR="00EF5A72" w:rsidRDefault="00EF5A72">
      <w:pPr>
        <w:widowControl/>
        <w:spacing w:after="0" w:line="240" w:lineRule="auto"/>
        <w:rPr>
          <w:rFonts w:ascii="Verdana" w:eastAsia="Verdana" w:hAnsi="Verdana" w:cs="Verdana"/>
          <w:sz w:val="20"/>
          <w:szCs w:val="20"/>
        </w:rPr>
      </w:pPr>
    </w:p>
    <w:p w14:paraId="01C04D10" w14:textId="77777777" w:rsidR="00EF5A72" w:rsidRDefault="00000000">
      <w:pPr>
        <w:widowControl/>
        <w:numPr>
          <w:ilvl w:val="0"/>
          <w:numId w:val="2"/>
        </w:numPr>
        <w:spacing w:after="0" w:line="240" w:lineRule="auto"/>
        <w:rPr>
          <w:rFonts w:ascii="Verdana" w:eastAsia="Verdana" w:hAnsi="Verdana" w:cs="Verdana"/>
          <w:sz w:val="20"/>
          <w:szCs w:val="20"/>
        </w:rPr>
      </w:pPr>
      <w:r>
        <w:rPr>
          <w:rFonts w:ascii="Verdana" w:eastAsia="Verdana" w:hAnsi="Verdana" w:cs="Verdana"/>
          <w:b/>
          <w:sz w:val="20"/>
          <w:szCs w:val="20"/>
        </w:rPr>
        <w:t>Strategic</w:t>
      </w:r>
      <w:r>
        <w:rPr>
          <w:rFonts w:ascii="Verdana" w:eastAsia="Verdana" w:hAnsi="Verdana" w:cs="Verdana"/>
          <w:sz w:val="20"/>
          <w:szCs w:val="20"/>
        </w:rPr>
        <w:t xml:space="preserve">: Approximately 6-10 vendors who provide profitability, growth, and </w:t>
      </w:r>
      <w:proofErr w:type="gramStart"/>
      <w:r>
        <w:rPr>
          <w:rFonts w:ascii="Verdana" w:eastAsia="Verdana" w:hAnsi="Verdana" w:cs="Verdana"/>
          <w:sz w:val="20"/>
          <w:szCs w:val="20"/>
        </w:rPr>
        <w:t>collaborate</w:t>
      </w:r>
      <w:proofErr w:type="gramEnd"/>
      <w:r>
        <w:rPr>
          <w:rFonts w:ascii="Verdana" w:eastAsia="Verdana" w:hAnsi="Verdana" w:cs="Verdana"/>
          <w:sz w:val="20"/>
          <w:szCs w:val="20"/>
        </w:rPr>
        <w:t xml:space="preserve"> on innovation.</w:t>
      </w:r>
    </w:p>
    <w:p w14:paraId="4959064D" w14:textId="77777777" w:rsidR="00EF5A72" w:rsidRDefault="00000000">
      <w:pPr>
        <w:widowControl/>
        <w:numPr>
          <w:ilvl w:val="0"/>
          <w:numId w:val="2"/>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Preferred</w:t>
      </w:r>
      <w:r>
        <w:rPr>
          <w:rFonts w:ascii="Verdana" w:eastAsia="Verdana" w:hAnsi="Verdana" w:cs="Verdana"/>
          <w:sz w:val="20"/>
          <w:szCs w:val="20"/>
        </w:rPr>
        <w:t>: Vendors that offer vital services requiring close monitoring by business unit owners.</w:t>
      </w:r>
    </w:p>
    <w:p w14:paraId="7753873F" w14:textId="77777777" w:rsidR="00EF5A72" w:rsidRDefault="00000000">
      <w:pPr>
        <w:widowControl/>
        <w:numPr>
          <w:ilvl w:val="0"/>
          <w:numId w:val="2"/>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Tactical</w:t>
      </w:r>
      <w:r>
        <w:rPr>
          <w:rFonts w:ascii="Verdana" w:eastAsia="Verdana" w:hAnsi="Verdana" w:cs="Verdana"/>
          <w:sz w:val="20"/>
          <w:szCs w:val="20"/>
        </w:rPr>
        <w:t>: Vendors with minimal impact on the company but high spend partners for the engagement length.</w:t>
      </w:r>
    </w:p>
    <w:p w14:paraId="5A787379" w14:textId="77777777" w:rsidR="00EF5A72" w:rsidRDefault="00000000">
      <w:pPr>
        <w:widowControl/>
        <w:numPr>
          <w:ilvl w:val="0"/>
          <w:numId w:val="2"/>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Commodity</w:t>
      </w:r>
      <w:r>
        <w:rPr>
          <w:rFonts w:ascii="Verdana" w:eastAsia="Verdana" w:hAnsi="Verdana" w:cs="Verdana"/>
          <w:sz w:val="20"/>
          <w:szCs w:val="20"/>
        </w:rPr>
        <w:t>: Vendors easily replaceable and not critical to Zediant Technologies' operations, service levels, or customer service.</w:t>
      </w:r>
    </w:p>
    <w:p w14:paraId="59F2BEE6" w14:textId="77777777" w:rsidR="00EF5A72" w:rsidRDefault="00EF5A72">
      <w:pPr>
        <w:widowControl/>
        <w:spacing w:after="0" w:line="240" w:lineRule="auto"/>
        <w:rPr>
          <w:rFonts w:ascii="Verdana" w:eastAsia="Verdana" w:hAnsi="Verdana" w:cs="Verdana"/>
          <w:sz w:val="20"/>
          <w:szCs w:val="20"/>
        </w:rPr>
      </w:pPr>
    </w:p>
    <w:p w14:paraId="50926481" w14:textId="77777777" w:rsidR="00EF5A72" w:rsidRDefault="00000000">
      <w:pPr>
        <w:pStyle w:val="Heading1"/>
        <w:widowControl/>
        <w:spacing w:after="0" w:line="240" w:lineRule="auto"/>
      </w:pPr>
      <w:bookmarkStart w:id="9" w:name="_Toc242777596"/>
      <w:r>
        <w:t>VENDOR RISK MANAGEMENT &amp; MITIGATION</w:t>
      </w:r>
      <w:bookmarkEnd w:id="9"/>
    </w:p>
    <w:p w14:paraId="1B2698BC" w14:textId="77777777" w:rsidR="00EF5A72" w:rsidRDefault="00EF5A72">
      <w:pPr>
        <w:widowControl/>
        <w:spacing w:after="0" w:line="240" w:lineRule="auto"/>
        <w:rPr>
          <w:rFonts w:ascii="Verdana" w:eastAsia="Verdana" w:hAnsi="Verdana" w:cs="Verdana"/>
          <w:sz w:val="20"/>
          <w:szCs w:val="20"/>
        </w:rPr>
      </w:pPr>
    </w:p>
    <w:p w14:paraId="32BE1F0B" w14:textId="77777777" w:rsidR="00EF5A72" w:rsidRDefault="00000000">
      <w:pPr>
        <w:widowControl/>
        <w:spacing w:after="0" w:line="240" w:lineRule="auto"/>
        <w:rPr>
          <w:rFonts w:ascii="Verdana" w:eastAsia="Verdana" w:hAnsi="Verdana" w:cs="Verdana"/>
          <w:sz w:val="20"/>
          <w:szCs w:val="20"/>
        </w:rPr>
      </w:pPr>
      <w:r>
        <w:rPr>
          <w:rFonts w:ascii="Verdana" w:eastAsia="Verdana" w:hAnsi="Verdana" w:cs="Verdana"/>
          <w:sz w:val="20"/>
          <w:szCs w:val="20"/>
        </w:rPr>
        <w:t>Zediant Inc. prioritizes risk management in all vendor relationships to prevent potential financial losses, reputational damage, and legal or regulatory issues.</w:t>
      </w:r>
    </w:p>
    <w:p w14:paraId="42B9AC0F" w14:textId="77777777" w:rsidR="00EF5A72" w:rsidRDefault="00EF5A72">
      <w:pPr>
        <w:widowControl/>
        <w:spacing w:after="0" w:line="240" w:lineRule="auto"/>
        <w:rPr>
          <w:rFonts w:ascii="Verdana" w:eastAsia="Verdana" w:hAnsi="Verdana" w:cs="Verdana"/>
          <w:sz w:val="20"/>
          <w:szCs w:val="20"/>
        </w:rPr>
      </w:pPr>
    </w:p>
    <w:p w14:paraId="680A84BA" w14:textId="77777777" w:rsidR="00EF5A72" w:rsidRDefault="00000000">
      <w:pPr>
        <w:pStyle w:val="Heading3"/>
        <w:widowControl/>
        <w:spacing w:after="0" w:line="240" w:lineRule="auto"/>
      </w:pPr>
      <w:bookmarkStart w:id="10" w:name="_Toc242777597"/>
      <w:r>
        <w:t>RISK ASSESSMENT AND MITIGATION</w:t>
      </w:r>
      <w:bookmarkEnd w:id="10"/>
    </w:p>
    <w:p w14:paraId="7692C622" w14:textId="77777777" w:rsidR="00EF5A72" w:rsidRDefault="00000000">
      <w:pPr>
        <w:widowControl/>
        <w:spacing w:after="0" w:line="240" w:lineRule="auto"/>
        <w:rPr>
          <w:rFonts w:ascii="Verdana" w:eastAsia="Verdana" w:hAnsi="Verdana" w:cs="Verdana"/>
          <w:sz w:val="20"/>
          <w:szCs w:val="20"/>
        </w:rPr>
      </w:pPr>
      <w:r>
        <w:rPr>
          <w:rFonts w:ascii="Verdana" w:eastAsia="Verdana" w:hAnsi="Verdana" w:cs="Verdana"/>
          <w:sz w:val="20"/>
          <w:szCs w:val="20"/>
        </w:rPr>
        <w:t>The Vendor Management Office (VMO) at Zediant is responsible for assessing and overseeing risk factors, implementing mitigation strategies, and managing vendors in the following areas:</w:t>
      </w:r>
    </w:p>
    <w:p w14:paraId="77C7FC23" w14:textId="77777777" w:rsidR="00EF5A72" w:rsidRDefault="00EF5A72">
      <w:pPr>
        <w:widowControl/>
        <w:spacing w:after="0" w:line="240" w:lineRule="auto"/>
        <w:rPr>
          <w:rFonts w:ascii="Verdana" w:eastAsia="Verdana" w:hAnsi="Verdana" w:cs="Verdana"/>
          <w:sz w:val="20"/>
          <w:szCs w:val="20"/>
        </w:rPr>
      </w:pPr>
    </w:p>
    <w:p w14:paraId="4E20B93C" w14:textId="77777777" w:rsidR="00EF5A72" w:rsidRDefault="00000000">
      <w:pPr>
        <w:widowControl/>
        <w:numPr>
          <w:ilvl w:val="0"/>
          <w:numId w:val="4"/>
        </w:numPr>
        <w:spacing w:after="0" w:line="240" w:lineRule="auto"/>
        <w:rPr>
          <w:rFonts w:ascii="Verdana" w:eastAsia="Verdana" w:hAnsi="Verdana" w:cs="Verdana"/>
          <w:sz w:val="20"/>
          <w:szCs w:val="20"/>
        </w:rPr>
      </w:pPr>
      <w:r>
        <w:rPr>
          <w:rFonts w:ascii="Verdana" w:eastAsia="Verdana" w:hAnsi="Verdana" w:cs="Verdana"/>
          <w:b/>
          <w:sz w:val="20"/>
          <w:szCs w:val="20"/>
        </w:rPr>
        <w:t>Compliance Risk</w:t>
      </w:r>
      <w:r>
        <w:rPr>
          <w:rFonts w:ascii="Verdana" w:eastAsia="Verdana" w:hAnsi="Verdana" w:cs="Verdana"/>
          <w:sz w:val="20"/>
          <w:szCs w:val="20"/>
        </w:rPr>
        <w:t>: Ensuring that vendors adhere to operational and information security policies, procedures, and regulatory requirements.</w:t>
      </w:r>
    </w:p>
    <w:p w14:paraId="586F09A3" w14:textId="77777777" w:rsidR="00EF5A72" w:rsidRDefault="00000000">
      <w:pPr>
        <w:widowControl/>
        <w:numPr>
          <w:ilvl w:val="0"/>
          <w:numId w:val="4"/>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Country Risk</w:t>
      </w:r>
      <w:r>
        <w:rPr>
          <w:rFonts w:ascii="Verdana" w:eastAsia="Verdana" w:hAnsi="Verdana" w:cs="Verdana"/>
          <w:sz w:val="20"/>
          <w:szCs w:val="20"/>
        </w:rPr>
        <w:t>: Assessing and managing risks associated with the political, economic, and social landscape of foreign countries where vendors operate.</w:t>
      </w:r>
    </w:p>
    <w:p w14:paraId="36D1A010" w14:textId="77777777" w:rsidR="00EF5A72" w:rsidRDefault="00000000">
      <w:pPr>
        <w:widowControl/>
        <w:numPr>
          <w:ilvl w:val="0"/>
          <w:numId w:val="4"/>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Environmental, Social, and Governance Risk</w:t>
      </w:r>
      <w:r>
        <w:rPr>
          <w:rFonts w:ascii="Verdana" w:eastAsia="Verdana" w:hAnsi="Verdana" w:cs="Verdana"/>
          <w:sz w:val="20"/>
          <w:szCs w:val="20"/>
        </w:rPr>
        <w:t>: Evaluating vendors' practices related to climate change, environmental impact, working conditions, human rights, and compliance with relevant laws and regulations.</w:t>
      </w:r>
    </w:p>
    <w:p w14:paraId="22F6443B" w14:textId="77777777" w:rsidR="00EF5A72" w:rsidRDefault="00000000">
      <w:pPr>
        <w:widowControl/>
        <w:numPr>
          <w:ilvl w:val="0"/>
          <w:numId w:val="4"/>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Financial Risk</w:t>
      </w:r>
      <w:r>
        <w:rPr>
          <w:rFonts w:ascii="Verdana" w:eastAsia="Verdana" w:hAnsi="Verdana" w:cs="Verdana"/>
          <w:sz w:val="20"/>
          <w:szCs w:val="20"/>
        </w:rPr>
        <w:t>: Evaluating the financial stability and condition of vendors to identify any potential financial risks.</w:t>
      </w:r>
    </w:p>
    <w:p w14:paraId="5CA44AAC" w14:textId="77777777" w:rsidR="00EF5A72" w:rsidRDefault="00000000">
      <w:pPr>
        <w:widowControl/>
        <w:numPr>
          <w:ilvl w:val="0"/>
          <w:numId w:val="4"/>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Operational Risk</w:t>
      </w:r>
      <w:r>
        <w:rPr>
          <w:rFonts w:ascii="Verdana" w:eastAsia="Verdana" w:hAnsi="Verdana" w:cs="Verdana"/>
          <w:sz w:val="20"/>
          <w:szCs w:val="20"/>
        </w:rPr>
        <w:t>: Identifying and addressing failures in internal operational controls related to people, processes, or methods.</w:t>
      </w:r>
    </w:p>
    <w:p w14:paraId="25D18E04" w14:textId="77777777" w:rsidR="00EF5A72" w:rsidRDefault="00000000">
      <w:pPr>
        <w:widowControl/>
        <w:numPr>
          <w:ilvl w:val="0"/>
          <w:numId w:val="4"/>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Reputation Risk</w:t>
      </w:r>
      <w:r>
        <w:rPr>
          <w:rFonts w:ascii="Verdana" w:eastAsia="Verdana" w:hAnsi="Verdana" w:cs="Verdana"/>
          <w:sz w:val="20"/>
          <w:szCs w:val="20"/>
        </w:rPr>
        <w:t>: Monitoring and addressing risks related to data breaches, unethical business practices, or actions that may negatively impact public perception.</w:t>
      </w:r>
    </w:p>
    <w:p w14:paraId="7341E7A6" w14:textId="77777777" w:rsidR="00EF5A72" w:rsidRDefault="00000000">
      <w:pPr>
        <w:widowControl/>
        <w:numPr>
          <w:ilvl w:val="0"/>
          <w:numId w:val="4"/>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Strategic Risk</w:t>
      </w:r>
      <w:r>
        <w:rPr>
          <w:rFonts w:ascii="Verdana" w:eastAsia="Verdana" w:hAnsi="Verdana" w:cs="Verdana"/>
          <w:sz w:val="20"/>
          <w:szCs w:val="20"/>
        </w:rPr>
        <w:t>: Assessing and managing risks associated with vendors' ability to achieve planned business objectives and goals.</w:t>
      </w:r>
    </w:p>
    <w:p w14:paraId="4260ADFC" w14:textId="77777777" w:rsidR="00EF5A72" w:rsidRDefault="00000000">
      <w:pPr>
        <w:widowControl/>
        <w:numPr>
          <w:ilvl w:val="0"/>
          <w:numId w:val="4"/>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Technology Risk</w:t>
      </w:r>
      <w:r>
        <w:rPr>
          <w:rFonts w:ascii="Verdana" w:eastAsia="Verdana" w:hAnsi="Verdana" w:cs="Verdana"/>
          <w:sz w:val="20"/>
          <w:szCs w:val="20"/>
        </w:rPr>
        <w:t>: Evaluating information technology and information governance risks, including resource adequacy and security measures.</w:t>
      </w:r>
    </w:p>
    <w:p w14:paraId="11FF7EEE" w14:textId="77777777" w:rsidR="00EF5A72" w:rsidRDefault="00000000">
      <w:pPr>
        <w:pStyle w:val="Heading3"/>
        <w:widowControl/>
        <w:spacing w:after="0" w:line="240" w:lineRule="auto"/>
      </w:pPr>
      <w:bookmarkStart w:id="11" w:name="_Toc242777598"/>
      <w:r>
        <w:t>RISK MITIGATION CONTROLS</w:t>
      </w:r>
      <w:bookmarkEnd w:id="11"/>
    </w:p>
    <w:p w14:paraId="11B536E6" w14:textId="77777777" w:rsidR="00EF5A72" w:rsidRDefault="00EF5A72">
      <w:pPr>
        <w:widowControl/>
        <w:spacing w:after="0" w:line="240" w:lineRule="auto"/>
        <w:rPr>
          <w:rFonts w:ascii="Verdana" w:eastAsia="Verdana" w:hAnsi="Verdana" w:cs="Verdana"/>
          <w:sz w:val="20"/>
          <w:szCs w:val="20"/>
        </w:rPr>
      </w:pPr>
    </w:p>
    <w:p w14:paraId="7007BF23" w14:textId="77777777" w:rsidR="00EF5A72" w:rsidRDefault="00000000">
      <w:pPr>
        <w:widowControl/>
        <w:spacing w:after="0" w:line="240" w:lineRule="auto"/>
        <w:rPr>
          <w:rFonts w:ascii="Verdana" w:eastAsia="Verdana" w:hAnsi="Verdana" w:cs="Verdana"/>
          <w:sz w:val="20"/>
          <w:szCs w:val="20"/>
        </w:rPr>
      </w:pPr>
      <w:r>
        <w:rPr>
          <w:rFonts w:ascii="Verdana" w:eastAsia="Verdana" w:hAnsi="Verdana" w:cs="Verdana"/>
          <w:sz w:val="20"/>
          <w:szCs w:val="20"/>
        </w:rPr>
        <w:t>The VMO, supported by corporate departments and internal audit, implements controls and measures to mitigate vendor risks:</w:t>
      </w:r>
    </w:p>
    <w:p w14:paraId="743C9AA5" w14:textId="77777777" w:rsidR="00EF5A72" w:rsidRDefault="00000000">
      <w:pPr>
        <w:widowControl/>
        <w:numPr>
          <w:ilvl w:val="0"/>
          <w:numId w:val="6"/>
        </w:numPr>
        <w:spacing w:after="0" w:line="240" w:lineRule="auto"/>
        <w:rPr>
          <w:rFonts w:ascii="Verdana" w:eastAsia="Verdana" w:hAnsi="Verdana" w:cs="Verdana"/>
          <w:sz w:val="20"/>
          <w:szCs w:val="20"/>
        </w:rPr>
      </w:pPr>
      <w:r>
        <w:rPr>
          <w:rFonts w:ascii="Verdana" w:eastAsia="Verdana" w:hAnsi="Verdana" w:cs="Verdana"/>
          <w:b/>
          <w:sz w:val="20"/>
          <w:szCs w:val="20"/>
        </w:rPr>
        <w:t>VMO</w:t>
      </w:r>
      <w:r>
        <w:rPr>
          <w:rFonts w:ascii="Verdana" w:eastAsia="Verdana" w:hAnsi="Verdana" w:cs="Verdana"/>
          <w:sz w:val="20"/>
          <w:szCs w:val="20"/>
        </w:rPr>
        <w:t>: The VMO identifies, assesses, and mitigates risks, implementing controls based on the company's risk management framework.</w:t>
      </w:r>
    </w:p>
    <w:p w14:paraId="5405B2BD" w14:textId="77777777" w:rsidR="00EF5A72" w:rsidRDefault="00000000">
      <w:pPr>
        <w:widowControl/>
        <w:numPr>
          <w:ilvl w:val="0"/>
          <w:numId w:val="6"/>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Corporate Departments</w:t>
      </w:r>
      <w:r>
        <w:rPr>
          <w:rFonts w:ascii="Verdana" w:eastAsia="Verdana" w:hAnsi="Verdana" w:cs="Verdana"/>
          <w:sz w:val="20"/>
          <w:szCs w:val="20"/>
        </w:rPr>
        <w:t>: Specialists in risk management, information security, and legal compliance support vendor risk management by monitoring and ensuring compliance with policies and regulations.</w:t>
      </w:r>
    </w:p>
    <w:p w14:paraId="79A6CDCE" w14:textId="77777777" w:rsidR="00EF5A72" w:rsidRDefault="00000000">
      <w:pPr>
        <w:widowControl/>
        <w:numPr>
          <w:ilvl w:val="0"/>
          <w:numId w:val="6"/>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lastRenderedPageBreak/>
        <w:t>Internal Audit</w:t>
      </w:r>
      <w:r>
        <w:rPr>
          <w:rFonts w:ascii="Verdana" w:eastAsia="Verdana" w:hAnsi="Verdana" w:cs="Verdana"/>
          <w:sz w:val="20"/>
          <w:szCs w:val="20"/>
        </w:rPr>
        <w:t>: The Board of Directors and Executive Management receive reports assessing the design and effectiveness of risk management activities and internal controls in the vendor management process.</w:t>
      </w:r>
    </w:p>
    <w:p w14:paraId="0F324D2D" w14:textId="77777777" w:rsidR="00EF5A72" w:rsidRDefault="00EF5A72">
      <w:pPr>
        <w:widowControl/>
        <w:spacing w:after="0" w:line="240" w:lineRule="auto"/>
        <w:rPr>
          <w:rFonts w:ascii="Verdana" w:eastAsia="Verdana" w:hAnsi="Verdana" w:cs="Verdana"/>
          <w:sz w:val="20"/>
          <w:szCs w:val="20"/>
        </w:rPr>
      </w:pPr>
    </w:p>
    <w:p w14:paraId="17C77C36" w14:textId="77777777" w:rsidR="00EF5A72" w:rsidRDefault="00000000">
      <w:pPr>
        <w:pStyle w:val="Heading1"/>
        <w:widowControl/>
        <w:spacing w:after="0" w:line="240" w:lineRule="auto"/>
      </w:pPr>
      <w:bookmarkStart w:id="12" w:name="_Toc242777599"/>
      <w:r>
        <w:t>DUE DILIGENCE &amp; REQUIRED DOCUMENTATION</w:t>
      </w:r>
      <w:bookmarkEnd w:id="12"/>
    </w:p>
    <w:p w14:paraId="5AF4D452" w14:textId="77777777" w:rsidR="00EF5A72" w:rsidRDefault="00EF5A72">
      <w:pPr>
        <w:widowControl/>
        <w:spacing w:after="0" w:line="240" w:lineRule="auto"/>
        <w:rPr>
          <w:rFonts w:ascii="Verdana" w:eastAsia="Verdana" w:hAnsi="Verdana" w:cs="Verdana"/>
          <w:sz w:val="20"/>
          <w:szCs w:val="20"/>
        </w:rPr>
      </w:pPr>
    </w:p>
    <w:p w14:paraId="7D822A2C" w14:textId="77777777" w:rsidR="00EF5A72" w:rsidRDefault="00000000">
      <w:pPr>
        <w:widowControl/>
        <w:spacing w:after="0" w:line="240" w:lineRule="auto"/>
        <w:rPr>
          <w:rFonts w:ascii="Verdana" w:eastAsia="Verdana" w:hAnsi="Verdana" w:cs="Verdana"/>
          <w:sz w:val="20"/>
          <w:szCs w:val="20"/>
        </w:rPr>
      </w:pPr>
      <w:r>
        <w:rPr>
          <w:rFonts w:ascii="Verdana" w:eastAsia="Verdana" w:hAnsi="Verdana" w:cs="Verdana"/>
          <w:sz w:val="20"/>
          <w:szCs w:val="20"/>
        </w:rPr>
        <w:t>Zediant requires vendors to submit specific documents as part of the due diligence process. XYZ Document Services facilitates document collection, storage, and ongoing updates as part of continuous due diligence:</w:t>
      </w:r>
    </w:p>
    <w:p w14:paraId="0598D8C4" w14:textId="77777777" w:rsidR="00EF5A72" w:rsidRDefault="00EF5A72">
      <w:pPr>
        <w:widowControl/>
        <w:spacing w:after="0" w:line="240" w:lineRule="auto"/>
        <w:rPr>
          <w:rFonts w:ascii="Verdana" w:eastAsia="Verdana" w:hAnsi="Verdana" w:cs="Verdana"/>
          <w:sz w:val="20"/>
          <w:szCs w:val="20"/>
        </w:rPr>
      </w:pPr>
    </w:p>
    <w:p w14:paraId="53C09791" w14:textId="77777777" w:rsidR="00EF5A72" w:rsidRDefault="00000000">
      <w:pPr>
        <w:widowControl/>
        <w:spacing w:after="0" w:line="240" w:lineRule="auto"/>
        <w:rPr>
          <w:rFonts w:ascii="Verdana" w:eastAsia="Verdana" w:hAnsi="Verdana" w:cs="Verdana"/>
          <w:sz w:val="20"/>
          <w:szCs w:val="20"/>
        </w:rPr>
      </w:pPr>
      <w:r>
        <w:rPr>
          <w:rFonts w:ascii="Verdana" w:eastAsia="Verdana" w:hAnsi="Verdana" w:cs="Verdana"/>
          <w:sz w:val="20"/>
          <w:szCs w:val="20"/>
        </w:rPr>
        <w:t>Required documents include, but are not limited to:</w:t>
      </w:r>
    </w:p>
    <w:p w14:paraId="1E8370A4" w14:textId="77777777" w:rsidR="00EF5A72" w:rsidRDefault="00EF5A72">
      <w:pPr>
        <w:widowControl/>
        <w:spacing w:after="0" w:line="240" w:lineRule="auto"/>
        <w:rPr>
          <w:rFonts w:ascii="Verdana" w:eastAsia="Verdana" w:hAnsi="Verdana" w:cs="Verdana"/>
          <w:sz w:val="20"/>
          <w:szCs w:val="20"/>
        </w:rPr>
      </w:pPr>
    </w:p>
    <w:p w14:paraId="33850AB0" w14:textId="77777777" w:rsidR="00EF5A72" w:rsidRDefault="00000000">
      <w:pPr>
        <w:widowControl/>
        <w:numPr>
          <w:ilvl w:val="0"/>
          <w:numId w:val="12"/>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Qualifications and Company Background</w:t>
      </w:r>
      <w:r>
        <w:rPr>
          <w:rFonts w:ascii="Verdana" w:eastAsia="Verdana" w:hAnsi="Verdana" w:cs="Verdana"/>
          <w:sz w:val="20"/>
          <w:szCs w:val="20"/>
        </w:rPr>
        <w:t>: Vendor's business history, market share, and principals' backgrounds, including relevant background checks.</w:t>
      </w:r>
    </w:p>
    <w:p w14:paraId="11F7C3E1" w14:textId="77777777" w:rsidR="00EF5A72" w:rsidRDefault="00000000">
      <w:pPr>
        <w:widowControl/>
        <w:numPr>
          <w:ilvl w:val="0"/>
          <w:numId w:val="12"/>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Ownership and Licenses</w:t>
      </w:r>
      <w:r>
        <w:rPr>
          <w:rFonts w:ascii="Verdana" w:eastAsia="Verdana" w:hAnsi="Verdana" w:cs="Verdana"/>
          <w:sz w:val="20"/>
          <w:szCs w:val="20"/>
        </w:rPr>
        <w:t>: Information on vendor ownership, contact details, business licenses, and patents.</w:t>
      </w:r>
    </w:p>
    <w:p w14:paraId="69223C38" w14:textId="77777777" w:rsidR="00EF5A72" w:rsidRDefault="00000000">
      <w:pPr>
        <w:widowControl/>
        <w:numPr>
          <w:ilvl w:val="0"/>
          <w:numId w:val="12"/>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Tax Forms</w:t>
      </w:r>
      <w:r>
        <w:rPr>
          <w:rFonts w:ascii="Verdana" w:eastAsia="Verdana" w:hAnsi="Verdana" w:cs="Verdana"/>
          <w:sz w:val="20"/>
          <w:szCs w:val="20"/>
        </w:rPr>
        <w:t>: Completed IRS and accounting forms.</w:t>
      </w:r>
    </w:p>
    <w:p w14:paraId="616D13FF" w14:textId="77777777" w:rsidR="00EF5A72" w:rsidRDefault="00000000">
      <w:pPr>
        <w:widowControl/>
        <w:numPr>
          <w:ilvl w:val="0"/>
          <w:numId w:val="12"/>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Financial Reports</w:t>
      </w:r>
      <w:r>
        <w:rPr>
          <w:rFonts w:ascii="Verdana" w:eastAsia="Verdana" w:hAnsi="Verdana" w:cs="Verdana"/>
          <w:sz w:val="20"/>
          <w:szCs w:val="20"/>
        </w:rPr>
        <w:t>: Banking, investment, and income statements, including audited financial documentation.</w:t>
      </w:r>
    </w:p>
    <w:p w14:paraId="30A50DCE" w14:textId="77777777" w:rsidR="00EF5A72" w:rsidRDefault="00000000">
      <w:pPr>
        <w:widowControl/>
        <w:numPr>
          <w:ilvl w:val="0"/>
          <w:numId w:val="12"/>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Information Security and Technology Controls</w:t>
      </w:r>
      <w:r>
        <w:rPr>
          <w:rFonts w:ascii="Verdana" w:eastAsia="Verdana" w:hAnsi="Verdana" w:cs="Verdana"/>
          <w:sz w:val="20"/>
          <w:szCs w:val="20"/>
        </w:rPr>
        <w:t>: Verification of information security standards, such as SOC reporting, and detailed descriptions of data protection measures.</w:t>
      </w:r>
    </w:p>
    <w:p w14:paraId="470F6E74" w14:textId="77777777" w:rsidR="00EF5A72" w:rsidRDefault="00000000">
      <w:pPr>
        <w:widowControl/>
        <w:numPr>
          <w:ilvl w:val="0"/>
          <w:numId w:val="12"/>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Risk Management and Assessment Plans</w:t>
      </w:r>
      <w:r>
        <w:rPr>
          <w:rFonts w:ascii="Verdana" w:eastAsia="Verdana" w:hAnsi="Verdana" w:cs="Verdana"/>
          <w:sz w:val="20"/>
          <w:szCs w:val="20"/>
        </w:rPr>
        <w:t>: Documentation of risk management plans and ongoing assessments.</w:t>
      </w:r>
    </w:p>
    <w:p w14:paraId="360D3115" w14:textId="77777777" w:rsidR="00EF5A72" w:rsidRDefault="00000000">
      <w:pPr>
        <w:widowControl/>
        <w:numPr>
          <w:ilvl w:val="0"/>
          <w:numId w:val="12"/>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Business Continuity Plan</w:t>
      </w:r>
      <w:r>
        <w:rPr>
          <w:rFonts w:ascii="Verdana" w:eastAsia="Verdana" w:hAnsi="Verdana" w:cs="Verdana"/>
          <w:sz w:val="20"/>
          <w:szCs w:val="20"/>
        </w:rPr>
        <w:t>: Detailed plan for business continuity and support during disasters or outages, potentially part of a SOC 2 report.</w:t>
      </w:r>
    </w:p>
    <w:p w14:paraId="3320BD69" w14:textId="77777777" w:rsidR="00EF5A72" w:rsidRDefault="00000000">
      <w:pPr>
        <w:widowControl/>
        <w:numPr>
          <w:ilvl w:val="0"/>
          <w:numId w:val="12"/>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Incident Response Plan</w:t>
      </w:r>
      <w:r>
        <w:rPr>
          <w:rFonts w:ascii="Verdana" w:eastAsia="Verdana" w:hAnsi="Verdana" w:cs="Verdana"/>
          <w:sz w:val="20"/>
          <w:szCs w:val="20"/>
        </w:rPr>
        <w:t>: Plan and documentation outlining prevention, detection, and recovery from cyber or internet-based incidents, potentially part of a SOC 2 report.</w:t>
      </w:r>
    </w:p>
    <w:p w14:paraId="0A0F2344" w14:textId="77777777" w:rsidR="00EF5A72" w:rsidRDefault="00000000">
      <w:pPr>
        <w:widowControl/>
        <w:numPr>
          <w:ilvl w:val="0"/>
          <w:numId w:val="12"/>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Insurance Coverage</w:t>
      </w:r>
      <w:r>
        <w:rPr>
          <w:rFonts w:ascii="Verdana" w:eastAsia="Verdana" w:hAnsi="Verdana" w:cs="Verdana"/>
          <w:sz w:val="20"/>
          <w:szCs w:val="20"/>
        </w:rPr>
        <w:t>: Verification of adequate insurance coverage to mitigate potential losses.</w:t>
      </w:r>
    </w:p>
    <w:p w14:paraId="01C88B13" w14:textId="77777777" w:rsidR="00EF5A72" w:rsidRDefault="00000000">
      <w:pPr>
        <w:widowControl/>
        <w:numPr>
          <w:ilvl w:val="0"/>
          <w:numId w:val="12"/>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Subcontractor Controls</w:t>
      </w:r>
      <w:r>
        <w:rPr>
          <w:rFonts w:ascii="Verdana" w:eastAsia="Verdana" w:hAnsi="Verdana" w:cs="Verdana"/>
          <w:sz w:val="20"/>
          <w:szCs w:val="20"/>
        </w:rPr>
        <w:t>: Review of plans and processes governing vendor's subcontractors' performance, quality, compliance, and insurance.</w:t>
      </w:r>
    </w:p>
    <w:p w14:paraId="058C0131" w14:textId="77777777" w:rsidR="00EF5A72" w:rsidRDefault="00EF5A72">
      <w:pPr>
        <w:widowControl/>
        <w:spacing w:after="0" w:line="240" w:lineRule="auto"/>
        <w:rPr>
          <w:rFonts w:ascii="Verdana" w:eastAsia="Verdana" w:hAnsi="Verdana" w:cs="Verdana"/>
          <w:sz w:val="20"/>
          <w:szCs w:val="20"/>
        </w:rPr>
      </w:pPr>
    </w:p>
    <w:p w14:paraId="67166B80" w14:textId="77777777" w:rsidR="00EF5A72" w:rsidRDefault="00000000">
      <w:pPr>
        <w:pStyle w:val="Heading1"/>
        <w:widowControl/>
        <w:spacing w:after="0" w:line="240" w:lineRule="auto"/>
      </w:pPr>
      <w:bookmarkStart w:id="13" w:name="_Toc242777600"/>
      <w:r>
        <w:t>VENDOR SELECTION</w:t>
      </w:r>
      <w:bookmarkEnd w:id="13"/>
    </w:p>
    <w:p w14:paraId="6226EEE5" w14:textId="77777777" w:rsidR="00EF5A72" w:rsidRDefault="00EF5A72">
      <w:pPr>
        <w:widowControl/>
        <w:spacing w:after="0" w:line="240" w:lineRule="auto"/>
        <w:rPr>
          <w:rFonts w:ascii="Verdana" w:eastAsia="Verdana" w:hAnsi="Verdana" w:cs="Verdana"/>
          <w:sz w:val="20"/>
          <w:szCs w:val="20"/>
        </w:rPr>
      </w:pPr>
    </w:p>
    <w:p w14:paraId="0AA7BD35" w14:textId="77777777" w:rsidR="00EF5A72" w:rsidRDefault="00000000">
      <w:pPr>
        <w:widowControl/>
        <w:spacing w:after="0" w:line="240" w:lineRule="auto"/>
        <w:rPr>
          <w:rFonts w:ascii="Verdana" w:eastAsia="Verdana" w:hAnsi="Verdana" w:cs="Verdana"/>
          <w:sz w:val="20"/>
          <w:szCs w:val="20"/>
        </w:rPr>
      </w:pPr>
      <w:r>
        <w:rPr>
          <w:rFonts w:ascii="Verdana" w:eastAsia="Verdana" w:hAnsi="Verdana" w:cs="Verdana"/>
          <w:sz w:val="20"/>
          <w:szCs w:val="20"/>
        </w:rPr>
        <w:t>Zediant follows a strategic sourcing approach to maximize vendor relationships, reduce costs, streamline procurement, and ensure compliance. Vendor selection involves three phases:</w:t>
      </w:r>
    </w:p>
    <w:p w14:paraId="601250F3" w14:textId="77777777" w:rsidR="00EF5A72" w:rsidRDefault="00EF5A72">
      <w:pPr>
        <w:widowControl/>
        <w:spacing w:after="0" w:line="240" w:lineRule="auto"/>
        <w:rPr>
          <w:rFonts w:ascii="Verdana" w:eastAsia="Verdana" w:hAnsi="Verdana" w:cs="Verdana"/>
          <w:sz w:val="20"/>
          <w:szCs w:val="20"/>
        </w:rPr>
      </w:pPr>
    </w:p>
    <w:p w14:paraId="39B86B0C" w14:textId="77777777" w:rsidR="00EF5A72" w:rsidRDefault="00000000">
      <w:pPr>
        <w:widowControl/>
        <w:numPr>
          <w:ilvl w:val="0"/>
          <w:numId w:val="8"/>
        </w:numPr>
        <w:spacing w:after="0" w:line="240" w:lineRule="auto"/>
        <w:rPr>
          <w:rFonts w:ascii="Verdana" w:eastAsia="Verdana" w:hAnsi="Verdana" w:cs="Verdana"/>
          <w:sz w:val="20"/>
          <w:szCs w:val="20"/>
        </w:rPr>
      </w:pPr>
      <w:r>
        <w:rPr>
          <w:rFonts w:ascii="Verdana" w:eastAsia="Verdana" w:hAnsi="Verdana" w:cs="Verdana"/>
          <w:b/>
          <w:sz w:val="20"/>
          <w:szCs w:val="20"/>
        </w:rPr>
        <w:t>Procure</w:t>
      </w:r>
      <w:r>
        <w:rPr>
          <w:rFonts w:ascii="Verdana" w:eastAsia="Verdana" w:hAnsi="Verdana" w:cs="Verdana"/>
          <w:sz w:val="20"/>
          <w:szCs w:val="20"/>
        </w:rPr>
        <w:t>: Competitive bid process involving a minimum of three sources for new vendors.</w:t>
      </w:r>
    </w:p>
    <w:p w14:paraId="72EF6CFE" w14:textId="77777777" w:rsidR="00EF5A72" w:rsidRDefault="00000000">
      <w:pPr>
        <w:widowControl/>
        <w:numPr>
          <w:ilvl w:val="0"/>
          <w:numId w:val="8"/>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Planning</w:t>
      </w:r>
      <w:r>
        <w:rPr>
          <w:rFonts w:ascii="Verdana" w:eastAsia="Verdana" w:hAnsi="Verdana" w:cs="Verdana"/>
          <w:sz w:val="20"/>
          <w:szCs w:val="20"/>
        </w:rPr>
        <w:t>: Developing requirements, clarifying performance expectations, identifying risks, and gathering necessary documentation for procurement and onboarding.</w:t>
      </w:r>
    </w:p>
    <w:p w14:paraId="663550F8" w14:textId="77777777" w:rsidR="00EF5A72" w:rsidRDefault="00000000">
      <w:pPr>
        <w:widowControl/>
        <w:numPr>
          <w:ilvl w:val="0"/>
          <w:numId w:val="8"/>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Solicitation</w:t>
      </w:r>
      <w:r>
        <w:rPr>
          <w:rFonts w:ascii="Verdana" w:eastAsia="Verdana" w:hAnsi="Verdana" w:cs="Verdana"/>
          <w:sz w:val="20"/>
          <w:szCs w:val="20"/>
        </w:rPr>
        <w:t>: Notifying qualified vendors through RFQ, RFP, or RFI to receive bids or proposals. Details include objectives, scope of work, service levels, performance indicators, timelines, financial terms, and selection criteria.</w:t>
      </w:r>
    </w:p>
    <w:p w14:paraId="26702E4F" w14:textId="77777777" w:rsidR="00EF5A72" w:rsidRDefault="00EF5A72">
      <w:pPr>
        <w:widowControl/>
        <w:pBdr>
          <w:top w:val="nil"/>
          <w:left w:val="nil"/>
          <w:bottom w:val="nil"/>
          <w:right w:val="nil"/>
          <w:between w:val="nil"/>
        </w:pBdr>
        <w:spacing w:after="0" w:line="240" w:lineRule="auto"/>
        <w:rPr>
          <w:rFonts w:ascii="Verdana" w:eastAsia="Verdana" w:hAnsi="Verdana" w:cs="Verdana"/>
          <w:sz w:val="20"/>
          <w:szCs w:val="20"/>
        </w:rPr>
      </w:pPr>
    </w:p>
    <w:p w14:paraId="38AD5BF9" w14:textId="77777777" w:rsidR="00EF5A72" w:rsidRDefault="00000000">
      <w:pPr>
        <w:widowControl/>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sz w:val="20"/>
          <w:szCs w:val="20"/>
        </w:rPr>
        <w:t>After vendor qualification, the VMO conducts due diligence, risk assessment, and contract development.</w:t>
      </w:r>
    </w:p>
    <w:p w14:paraId="6DAE400A" w14:textId="77777777" w:rsidR="00EF5A72" w:rsidRDefault="00000000">
      <w:pPr>
        <w:pStyle w:val="Heading1"/>
        <w:widowControl/>
        <w:spacing w:after="0" w:line="240" w:lineRule="auto"/>
      </w:pPr>
      <w:bookmarkStart w:id="14" w:name="_Toc242777601"/>
      <w:r>
        <w:t>CONTRACTING</w:t>
      </w:r>
      <w:bookmarkEnd w:id="14"/>
    </w:p>
    <w:p w14:paraId="50DB9EA4" w14:textId="77777777" w:rsidR="00EF5A72" w:rsidRDefault="00EF5A72">
      <w:pPr>
        <w:widowControl/>
        <w:spacing w:after="0" w:line="240" w:lineRule="auto"/>
        <w:rPr>
          <w:rFonts w:ascii="Verdana" w:eastAsia="Verdana" w:hAnsi="Verdana" w:cs="Verdana"/>
          <w:sz w:val="20"/>
          <w:szCs w:val="20"/>
        </w:rPr>
      </w:pPr>
    </w:p>
    <w:p w14:paraId="1461DFB5" w14:textId="77777777" w:rsidR="00EF5A72" w:rsidRDefault="00000000">
      <w:pPr>
        <w:widowControl/>
        <w:spacing w:after="0" w:line="240" w:lineRule="auto"/>
        <w:rPr>
          <w:rFonts w:ascii="Verdana" w:eastAsia="Verdana" w:hAnsi="Verdana" w:cs="Verdana"/>
          <w:sz w:val="20"/>
          <w:szCs w:val="20"/>
        </w:rPr>
      </w:pPr>
      <w:r>
        <w:rPr>
          <w:rFonts w:ascii="Verdana" w:eastAsia="Verdana" w:hAnsi="Verdana" w:cs="Verdana"/>
          <w:sz w:val="20"/>
          <w:szCs w:val="20"/>
        </w:rPr>
        <w:t>Zediant utilizes the DCE Contract Management cloud-based system to store and track all written agreements, including security surveys and due diligence documentation.</w:t>
      </w:r>
    </w:p>
    <w:p w14:paraId="09CFEC56" w14:textId="77777777" w:rsidR="00EF5A72" w:rsidRDefault="00EF5A72">
      <w:pPr>
        <w:widowControl/>
        <w:spacing w:after="0" w:line="240" w:lineRule="auto"/>
        <w:rPr>
          <w:rFonts w:ascii="Verdana" w:eastAsia="Verdana" w:hAnsi="Verdana" w:cs="Verdana"/>
          <w:sz w:val="20"/>
          <w:szCs w:val="20"/>
        </w:rPr>
      </w:pPr>
    </w:p>
    <w:p w14:paraId="08AA60F5" w14:textId="77777777" w:rsidR="00EF5A72" w:rsidRDefault="00000000">
      <w:pPr>
        <w:widowControl/>
        <w:spacing w:after="0" w:line="240" w:lineRule="auto"/>
        <w:rPr>
          <w:rFonts w:ascii="Verdana" w:eastAsia="Verdana" w:hAnsi="Verdana" w:cs="Verdana"/>
          <w:sz w:val="20"/>
          <w:szCs w:val="20"/>
        </w:rPr>
      </w:pPr>
      <w:r>
        <w:rPr>
          <w:rFonts w:ascii="Verdana" w:eastAsia="Verdana" w:hAnsi="Verdana" w:cs="Verdana"/>
          <w:sz w:val="20"/>
          <w:szCs w:val="20"/>
        </w:rPr>
        <w:lastRenderedPageBreak/>
        <w:t>Contract activities include:</w:t>
      </w:r>
    </w:p>
    <w:p w14:paraId="0B5655F2" w14:textId="77777777" w:rsidR="00EF5A72" w:rsidRDefault="00EF5A72">
      <w:pPr>
        <w:widowControl/>
        <w:spacing w:after="0" w:line="240" w:lineRule="auto"/>
        <w:rPr>
          <w:rFonts w:ascii="Verdana" w:eastAsia="Verdana" w:hAnsi="Verdana" w:cs="Verdana"/>
          <w:sz w:val="20"/>
          <w:szCs w:val="20"/>
        </w:rPr>
      </w:pPr>
    </w:p>
    <w:p w14:paraId="0A2BEE92" w14:textId="77777777" w:rsidR="00EF5A72" w:rsidRDefault="00000000">
      <w:pPr>
        <w:widowControl/>
        <w:numPr>
          <w:ilvl w:val="0"/>
          <w:numId w:val="11"/>
        </w:numPr>
        <w:spacing w:after="0" w:line="240" w:lineRule="auto"/>
        <w:rPr>
          <w:rFonts w:ascii="Verdana" w:eastAsia="Verdana" w:hAnsi="Verdana" w:cs="Verdana"/>
          <w:sz w:val="20"/>
          <w:szCs w:val="20"/>
        </w:rPr>
      </w:pPr>
      <w:r>
        <w:rPr>
          <w:rFonts w:ascii="Verdana" w:eastAsia="Verdana" w:hAnsi="Verdana" w:cs="Verdana"/>
          <w:b/>
          <w:sz w:val="20"/>
          <w:szCs w:val="20"/>
        </w:rPr>
        <w:t>Contract</w:t>
      </w:r>
      <w:r>
        <w:rPr>
          <w:rFonts w:ascii="Verdana" w:eastAsia="Verdana" w:hAnsi="Verdana" w:cs="Verdana"/>
          <w:sz w:val="20"/>
          <w:szCs w:val="20"/>
        </w:rPr>
        <w:t>: Detailed agreements between Zediant Inc. and vendors, covering terms, conditions, responsibilities, and liabilities of both parties. Contracts undergo review for compliance with company policies, and legal counsel ensures appropriateness of service or product terms.</w:t>
      </w:r>
    </w:p>
    <w:p w14:paraId="526C1FB8" w14:textId="77777777" w:rsidR="00EF5A72" w:rsidRDefault="00000000">
      <w:pPr>
        <w:widowControl/>
        <w:numPr>
          <w:ilvl w:val="0"/>
          <w:numId w:val="11"/>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Contract Administration</w:t>
      </w:r>
      <w:r>
        <w:rPr>
          <w:rFonts w:ascii="Verdana" w:eastAsia="Verdana" w:hAnsi="Verdana" w:cs="Verdana"/>
          <w:sz w:val="20"/>
          <w:szCs w:val="20"/>
        </w:rPr>
        <w:t>: Contracts are stored in the DCE Contract Management System, accessible to authorized personnel. Central document repository ensures regulatory compliance and document preservation.</w:t>
      </w:r>
    </w:p>
    <w:p w14:paraId="1909B707" w14:textId="77777777" w:rsidR="00EF5A72" w:rsidRDefault="00000000">
      <w:pPr>
        <w:widowControl/>
        <w:numPr>
          <w:ilvl w:val="0"/>
          <w:numId w:val="11"/>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Expiration, Modification, and Renewal</w:t>
      </w:r>
      <w:r>
        <w:rPr>
          <w:rFonts w:ascii="Verdana" w:eastAsia="Verdana" w:hAnsi="Verdana" w:cs="Verdana"/>
          <w:sz w:val="20"/>
          <w:szCs w:val="20"/>
        </w:rPr>
        <w:t xml:space="preserve">: Contracts flagged for review as they </w:t>
      </w:r>
      <w:proofErr w:type="gramStart"/>
      <w:r>
        <w:rPr>
          <w:rFonts w:ascii="Verdana" w:eastAsia="Verdana" w:hAnsi="Verdana" w:cs="Verdana"/>
          <w:sz w:val="20"/>
          <w:szCs w:val="20"/>
        </w:rPr>
        <w:t>near</w:t>
      </w:r>
      <w:proofErr w:type="gramEnd"/>
      <w:r>
        <w:rPr>
          <w:rFonts w:ascii="Verdana" w:eastAsia="Verdana" w:hAnsi="Verdana" w:cs="Verdana"/>
          <w:sz w:val="20"/>
          <w:szCs w:val="20"/>
        </w:rPr>
        <w:t xml:space="preserve"> expiration or require modifications. Risk assessment and due diligence conducted before renewal.</w:t>
      </w:r>
    </w:p>
    <w:p w14:paraId="24BF5193" w14:textId="77777777" w:rsidR="00EF5A72" w:rsidRDefault="00000000">
      <w:pPr>
        <w:widowControl/>
        <w:numPr>
          <w:ilvl w:val="0"/>
          <w:numId w:val="11"/>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Termination</w:t>
      </w:r>
      <w:r>
        <w:rPr>
          <w:rFonts w:ascii="Verdana" w:eastAsia="Verdana" w:hAnsi="Verdana" w:cs="Verdana"/>
          <w:sz w:val="20"/>
          <w:szCs w:val="20"/>
        </w:rPr>
        <w:t>: Contracts terminate upon expiration, fulfillment of terms, or due to contract default.</w:t>
      </w:r>
    </w:p>
    <w:p w14:paraId="5AA9398F" w14:textId="77777777" w:rsidR="00EF5A72" w:rsidRDefault="00EF5A72">
      <w:pPr>
        <w:widowControl/>
        <w:spacing w:after="0" w:line="240" w:lineRule="auto"/>
        <w:rPr>
          <w:rFonts w:ascii="Verdana" w:eastAsia="Verdana" w:hAnsi="Verdana" w:cs="Verdana"/>
          <w:sz w:val="20"/>
          <w:szCs w:val="20"/>
        </w:rPr>
      </w:pPr>
    </w:p>
    <w:p w14:paraId="291215E4" w14:textId="77777777" w:rsidR="00EF5A72" w:rsidRDefault="00000000">
      <w:pPr>
        <w:pStyle w:val="Heading1"/>
        <w:widowControl/>
        <w:spacing w:after="0" w:line="240" w:lineRule="auto"/>
      </w:pPr>
      <w:bookmarkStart w:id="15" w:name="_Toc242777602"/>
      <w:r>
        <w:t>LEGAL REVIEW, CONFIDENTIALITY &amp; NON-DISCLOSURE</w:t>
      </w:r>
      <w:bookmarkEnd w:id="15"/>
    </w:p>
    <w:p w14:paraId="35DE97BB" w14:textId="77777777" w:rsidR="00EF5A72" w:rsidRDefault="00EF5A72">
      <w:pPr>
        <w:widowControl/>
        <w:spacing w:after="0" w:line="240" w:lineRule="auto"/>
        <w:rPr>
          <w:rFonts w:ascii="Verdana" w:eastAsia="Verdana" w:hAnsi="Verdana" w:cs="Verdana"/>
          <w:sz w:val="20"/>
          <w:szCs w:val="20"/>
        </w:rPr>
      </w:pPr>
    </w:p>
    <w:p w14:paraId="376FBAD9" w14:textId="77777777" w:rsidR="00EF5A72" w:rsidRDefault="00000000">
      <w:pPr>
        <w:widowControl/>
        <w:spacing w:after="0" w:line="240" w:lineRule="auto"/>
        <w:rPr>
          <w:rFonts w:ascii="Verdana" w:eastAsia="Verdana" w:hAnsi="Verdana" w:cs="Verdana"/>
          <w:sz w:val="20"/>
          <w:szCs w:val="20"/>
        </w:rPr>
      </w:pPr>
      <w:r>
        <w:rPr>
          <w:rFonts w:ascii="Verdana" w:eastAsia="Verdana" w:hAnsi="Verdana" w:cs="Verdana"/>
          <w:sz w:val="20"/>
          <w:szCs w:val="20"/>
        </w:rPr>
        <w:t>Zediant's legal counsel reviews all vendor contracts. The contracts address various aspects, including:</w:t>
      </w:r>
    </w:p>
    <w:p w14:paraId="545FEF79" w14:textId="77777777" w:rsidR="00EF5A72" w:rsidRDefault="00EF5A72">
      <w:pPr>
        <w:widowControl/>
        <w:spacing w:after="0" w:line="240" w:lineRule="auto"/>
        <w:rPr>
          <w:rFonts w:ascii="Verdana" w:eastAsia="Verdana" w:hAnsi="Verdana" w:cs="Verdana"/>
          <w:sz w:val="20"/>
          <w:szCs w:val="20"/>
        </w:rPr>
      </w:pPr>
    </w:p>
    <w:p w14:paraId="7F72CA39" w14:textId="77777777" w:rsidR="00EF5A72" w:rsidRDefault="00000000">
      <w:pPr>
        <w:widowControl/>
        <w:numPr>
          <w:ilvl w:val="0"/>
          <w:numId w:val="7"/>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Scope</w:t>
      </w:r>
      <w:r>
        <w:rPr>
          <w:rFonts w:ascii="Verdana" w:eastAsia="Verdana" w:hAnsi="Verdana" w:cs="Verdana"/>
          <w:sz w:val="20"/>
          <w:szCs w:val="20"/>
        </w:rPr>
        <w:t>: Detailed arrangement specifics, authorized activities, and services.</w:t>
      </w:r>
    </w:p>
    <w:p w14:paraId="71C4E1AB" w14:textId="77777777" w:rsidR="00EF5A72" w:rsidRDefault="00000000">
      <w:pPr>
        <w:widowControl/>
        <w:numPr>
          <w:ilvl w:val="0"/>
          <w:numId w:val="7"/>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Responsibilities of All Parties</w:t>
      </w:r>
      <w:r>
        <w:rPr>
          <w:rFonts w:ascii="Verdana" w:eastAsia="Verdana" w:hAnsi="Verdana" w:cs="Verdana"/>
          <w:sz w:val="20"/>
          <w:szCs w:val="20"/>
        </w:rPr>
        <w:t>: Obligations of Zediant Inc., the vendor, and subcontractors.</w:t>
      </w:r>
    </w:p>
    <w:p w14:paraId="29124BCB" w14:textId="77777777" w:rsidR="00EF5A72" w:rsidRDefault="00000000">
      <w:pPr>
        <w:widowControl/>
        <w:numPr>
          <w:ilvl w:val="0"/>
          <w:numId w:val="7"/>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Service Level Agreements (SLA)</w:t>
      </w:r>
      <w:r>
        <w:rPr>
          <w:rFonts w:ascii="Verdana" w:eastAsia="Verdana" w:hAnsi="Verdana" w:cs="Verdana"/>
          <w:sz w:val="20"/>
          <w:szCs w:val="20"/>
        </w:rPr>
        <w:t>: Performance expectations, standards, and measures.</w:t>
      </w:r>
    </w:p>
    <w:p w14:paraId="3DF26929" w14:textId="77777777" w:rsidR="00EF5A72" w:rsidRDefault="00000000">
      <w:pPr>
        <w:widowControl/>
        <w:numPr>
          <w:ilvl w:val="0"/>
          <w:numId w:val="7"/>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Reporting</w:t>
      </w:r>
      <w:r>
        <w:rPr>
          <w:rFonts w:ascii="Verdana" w:eastAsia="Verdana" w:hAnsi="Verdana" w:cs="Verdana"/>
          <w:sz w:val="20"/>
          <w:szCs w:val="20"/>
        </w:rPr>
        <w:t>: Requirements for performance reports and frequency.</w:t>
      </w:r>
    </w:p>
    <w:p w14:paraId="17B92F80" w14:textId="77777777" w:rsidR="00EF5A72" w:rsidRDefault="00000000">
      <w:pPr>
        <w:widowControl/>
        <w:numPr>
          <w:ilvl w:val="0"/>
          <w:numId w:val="7"/>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Ownership</w:t>
      </w:r>
      <w:r>
        <w:rPr>
          <w:rFonts w:ascii="Verdana" w:eastAsia="Verdana" w:hAnsi="Verdana" w:cs="Verdana"/>
          <w:sz w:val="20"/>
          <w:szCs w:val="20"/>
        </w:rPr>
        <w:t>: Control, maintenance, and access to financial and operating records.</w:t>
      </w:r>
    </w:p>
    <w:p w14:paraId="366000AA" w14:textId="77777777" w:rsidR="00EF5A72" w:rsidRDefault="00000000">
      <w:pPr>
        <w:widowControl/>
        <w:numPr>
          <w:ilvl w:val="0"/>
          <w:numId w:val="7"/>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Confidentiality and Non-disclosure</w:t>
      </w:r>
      <w:r>
        <w:rPr>
          <w:rFonts w:ascii="Verdana" w:eastAsia="Verdana" w:hAnsi="Verdana" w:cs="Verdana"/>
          <w:sz w:val="20"/>
          <w:szCs w:val="20"/>
        </w:rPr>
        <w:t>: Vendor obligation to maintain strict confidentiality.</w:t>
      </w:r>
    </w:p>
    <w:p w14:paraId="1C065852" w14:textId="77777777" w:rsidR="00EF5A72" w:rsidRDefault="00000000">
      <w:pPr>
        <w:widowControl/>
        <w:numPr>
          <w:ilvl w:val="0"/>
          <w:numId w:val="7"/>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Audits</w:t>
      </w:r>
      <w:r>
        <w:rPr>
          <w:rFonts w:ascii="Verdana" w:eastAsia="Verdana" w:hAnsi="Verdana" w:cs="Verdana"/>
          <w:sz w:val="20"/>
          <w:szCs w:val="20"/>
        </w:rPr>
        <w:t>: Evaluation of vendor feasibility, management competence, responsibilities, and data integrity.</w:t>
      </w:r>
    </w:p>
    <w:p w14:paraId="3A76FE1B" w14:textId="77777777" w:rsidR="00EF5A72" w:rsidRDefault="00000000">
      <w:pPr>
        <w:widowControl/>
        <w:numPr>
          <w:ilvl w:val="0"/>
          <w:numId w:val="7"/>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Business Resumption or Contingency Planning</w:t>
      </w:r>
      <w:r>
        <w:rPr>
          <w:rFonts w:ascii="Verdana" w:eastAsia="Verdana" w:hAnsi="Verdana" w:cs="Verdana"/>
          <w:sz w:val="20"/>
          <w:szCs w:val="20"/>
        </w:rPr>
        <w:t>: Vendor compliance with business continuity and contingency plans.</w:t>
      </w:r>
    </w:p>
    <w:p w14:paraId="01FF341E" w14:textId="77777777" w:rsidR="00EF5A72" w:rsidRDefault="00000000">
      <w:pPr>
        <w:widowControl/>
        <w:numPr>
          <w:ilvl w:val="0"/>
          <w:numId w:val="7"/>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Insurance Coverage</w:t>
      </w:r>
      <w:r>
        <w:rPr>
          <w:rFonts w:ascii="Verdana" w:eastAsia="Verdana" w:hAnsi="Verdana" w:cs="Verdana"/>
          <w:sz w:val="20"/>
          <w:szCs w:val="20"/>
        </w:rPr>
        <w:t>: Specification of insurance types and amounts required for contract fulfillment.</w:t>
      </w:r>
    </w:p>
    <w:p w14:paraId="367F225D" w14:textId="77777777" w:rsidR="00EF5A72" w:rsidRDefault="00000000">
      <w:pPr>
        <w:widowControl/>
        <w:numPr>
          <w:ilvl w:val="0"/>
          <w:numId w:val="7"/>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Customer Complaints and Customer Service</w:t>
      </w:r>
      <w:r>
        <w:rPr>
          <w:rFonts w:ascii="Verdana" w:eastAsia="Verdana" w:hAnsi="Verdana" w:cs="Verdana"/>
          <w:sz w:val="20"/>
          <w:szCs w:val="20"/>
        </w:rPr>
        <w:t>: Addressing service issues and their resolution.</w:t>
      </w:r>
    </w:p>
    <w:p w14:paraId="46561DDB" w14:textId="77777777" w:rsidR="00EF5A72" w:rsidRDefault="00000000">
      <w:pPr>
        <w:widowControl/>
        <w:numPr>
          <w:ilvl w:val="0"/>
          <w:numId w:val="7"/>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Compliance with Regulatory Requirements</w:t>
      </w:r>
      <w:r>
        <w:rPr>
          <w:rFonts w:ascii="Verdana" w:eastAsia="Verdana" w:hAnsi="Verdana" w:cs="Verdana"/>
          <w:sz w:val="20"/>
          <w:szCs w:val="20"/>
        </w:rPr>
        <w:t>: Vendor compliance with specific regulations.</w:t>
      </w:r>
    </w:p>
    <w:p w14:paraId="70C443C1" w14:textId="77777777" w:rsidR="00EF5A72" w:rsidRDefault="00000000">
      <w:pPr>
        <w:widowControl/>
        <w:numPr>
          <w:ilvl w:val="0"/>
          <w:numId w:val="7"/>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Penalties</w:t>
      </w:r>
      <w:r>
        <w:rPr>
          <w:rFonts w:ascii="Verdana" w:eastAsia="Verdana" w:hAnsi="Verdana" w:cs="Verdana"/>
          <w:sz w:val="20"/>
          <w:szCs w:val="20"/>
        </w:rPr>
        <w:t>: Financial penalties for performance failures.</w:t>
      </w:r>
    </w:p>
    <w:p w14:paraId="34684437" w14:textId="77777777" w:rsidR="00EF5A72" w:rsidRDefault="00000000">
      <w:pPr>
        <w:widowControl/>
        <w:numPr>
          <w:ilvl w:val="0"/>
          <w:numId w:val="7"/>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Dispute Resolution</w:t>
      </w:r>
      <w:r>
        <w:rPr>
          <w:rFonts w:ascii="Verdana" w:eastAsia="Verdana" w:hAnsi="Verdana" w:cs="Verdana"/>
          <w:sz w:val="20"/>
          <w:szCs w:val="20"/>
        </w:rPr>
        <w:t>: Process for resolving differences, including arbitration or mediation.</w:t>
      </w:r>
    </w:p>
    <w:p w14:paraId="1F0DCA9F" w14:textId="77777777" w:rsidR="00EF5A72" w:rsidRDefault="00000000">
      <w:pPr>
        <w:widowControl/>
        <w:numPr>
          <w:ilvl w:val="0"/>
          <w:numId w:val="7"/>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Default, Termination, and Escape Clauses</w:t>
      </w:r>
      <w:r>
        <w:rPr>
          <w:rFonts w:ascii="Verdana" w:eastAsia="Verdana" w:hAnsi="Verdana" w:cs="Verdana"/>
          <w:sz w:val="20"/>
          <w:szCs w:val="20"/>
        </w:rPr>
        <w:t>: Detailed procedures for contract termination.</w:t>
      </w:r>
    </w:p>
    <w:p w14:paraId="6F230B07" w14:textId="77777777" w:rsidR="00EF5A72" w:rsidRDefault="00000000">
      <w:pPr>
        <w:pStyle w:val="Heading1"/>
        <w:widowControl/>
        <w:spacing w:after="0" w:line="240" w:lineRule="auto"/>
      </w:pPr>
      <w:bookmarkStart w:id="16" w:name="_Toc242777603"/>
      <w:r>
        <w:t>MONITORING</w:t>
      </w:r>
      <w:bookmarkEnd w:id="16"/>
    </w:p>
    <w:p w14:paraId="2E6B0082" w14:textId="77777777" w:rsidR="00EF5A72" w:rsidRDefault="00EF5A72">
      <w:pPr>
        <w:widowControl/>
        <w:spacing w:after="0" w:line="240" w:lineRule="auto"/>
        <w:rPr>
          <w:rFonts w:ascii="Verdana" w:eastAsia="Verdana" w:hAnsi="Verdana" w:cs="Verdana"/>
          <w:sz w:val="20"/>
          <w:szCs w:val="20"/>
        </w:rPr>
      </w:pPr>
    </w:p>
    <w:p w14:paraId="59FF4388" w14:textId="77777777" w:rsidR="00EF5A72" w:rsidRDefault="00000000">
      <w:pPr>
        <w:widowControl/>
        <w:spacing w:after="0" w:line="240" w:lineRule="auto"/>
        <w:rPr>
          <w:rFonts w:ascii="Verdana" w:eastAsia="Verdana" w:hAnsi="Verdana" w:cs="Verdana"/>
          <w:sz w:val="20"/>
          <w:szCs w:val="20"/>
        </w:rPr>
      </w:pPr>
      <w:r>
        <w:rPr>
          <w:rFonts w:ascii="Verdana" w:eastAsia="Verdana" w:hAnsi="Verdana" w:cs="Verdana"/>
          <w:sz w:val="20"/>
          <w:szCs w:val="20"/>
        </w:rPr>
        <w:t>Zediant's vendor management requires ongoing monitoring of vendor spend, performance, and risk. The VMO regularly reviews vendor activities in the following areas:</w:t>
      </w:r>
    </w:p>
    <w:p w14:paraId="30CE9D1C" w14:textId="77777777" w:rsidR="00EF5A72" w:rsidRDefault="00EF5A72">
      <w:pPr>
        <w:widowControl/>
        <w:spacing w:after="0" w:line="240" w:lineRule="auto"/>
        <w:rPr>
          <w:rFonts w:ascii="Verdana" w:eastAsia="Verdana" w:hAnsi="Verdana" w:cs="Verdana"/>
          <w:sz w:val="20"/>
          <w:szCs w:val="20"/>
        </w:rPr>
      </w:pPr>
    </w:p>
    <w:p w14:paraId="016E19CF" w14:textId="77777777" w:rsidR="00EF5A72" w:rsidRDefault="00000000">
      <w:pPr>
        <w:widowControl/>
        <w:numPr>
          <w:ilvl w:val="0"/>
          <w:numId w:val="3"/>
        </w:numPr>
        <w:spacing w:after="0" w:line="240" w:lineRule="auto"/>
        <w:rPr>
          <w:rFonts w:ascii="Verdana" w:eastAsia="Verdana" w:hAnsi="Verdana" w:cs="Verdana"/>
          <w:sz w:val="20"/>
          <w:szCs w:val="20"/>
        </w:rPr>
      </w:pPr>
      <w:r>
        <w:rPr>
          <w:rFonts w:ascii="Verdana" w:eastAsia="Verdana" w:hAnsi="Verdana" w:cs="Verdana"/>
          <w:b/>
          <w:sz w:val="20"/>
          <w:szCs w:val="20"/>
        </w:rPr>
        <w:t>Spend</w:t>
      </w:r>
      <w:r>
        <w:rPr>
          <w:rFonts w:ascii="Verdana" w:eastAsia="Verdana" w:hAnsi="Verdana" w:cs="Verdana"/>
          <w:sz w:val="20"/>
          <w:szCs w:val="20"/>
        </w:rPr>
        <w:t>: Analyzing spending data based on categories, vendor types, and other spend analyses.</w:t>
      </w:r>
    </w:p>
    <w:p w14:paraId="77E0DD7B" w14:textId="77777777" w:rsidR="00EF5A72" w:rsidRDefault="00000000">
      <w:pPr>
        <w:widowControl/>
        <w:numPr>
          <w:ilvl w:val="0"/>
          <w:numId w:val="3"/>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Performance</w:t>
      </w:r>
      <w:r>
        <w:rPr>
          <w:rFonts w:ascii="Verdana" w:eastAsia="Verdana" w:hAnsi="Verdana" w:cs="Verdana"/>
          <w:sz w:val="20"/>
          <w:szCs w:val="20"/>
        </w:rPr>
        <w:t>: Developing a performance audit program to assess vendor compliance with service levels, quality agreements, and contract terms.</w:t>
      </w:r>
    </w:p>
    <w:p w14:paraId="089DBC3D" w14:textId="77777777" w:rsidR="00EF5A72" w:rsidRDefault="00000000">
      <w:pPr>
        <w:widowControl/>
        <w:numPr>
          <w:ilvl w:val="0"/>
          <w:numId w:val="3"/>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Risk</w:t>
      </w:r>
      <w:r>
        <w:rPr>
          <w:rFonts w:ascii="Verdana" w:eastAsia="Verdana" w:hAnsi="Verdana" w:cs="Verdana"/>
          <w:sz w:val="20"/>
          <w:szCs w:val="20"/>
        </w:rPr>
        <w:t>: Continuous monitoring of risk factors based on various categories, such as country, environmental, social and governance, financial, operational, reputation, strategic, and technology risks.</w:t>
      </w:r>
    </w:p>
    <w:p w14:paraId="264B1540" w14:textId="77777777" w:rsidR="00EF5A72" w:rsidRDefault="00000000">
      <w:pPr>
        <w:pStyle w:val="Heading1"/>
        <w:widowControl/>
        <w:spacing w:after="0" w:line="240" w:lineRule="auto"/>
      </w:pPr>
      <w:bookmarkStart w:id="17" w:name="_Toc242777604"/>
      <w:r>
        <w:lastRenderedPageBreak/>
        <w:t>REPORTING</w:t>
      </w:r>
      <w:bookmarkEnd w:id="17"/>
    </w:p>
    <w:p w14:paraId="297B0EB8" w14:textId="77777777" w:rsidR="00EF5A72" w:rsidRDefault="00EF5A72">
      <w:pPr>
        <w:widowControl/>
        <w:spacing w:after="0" w:line="240" w:lineRule="auto"/>
        <w:rPr>
          <w:rFonts w:ascii="Verdana" w:eastAsia="Verdana" w:hAnsi="Verdana" w:cs="Verdana"/>
          <w:sz w:val="20"/>
          <w:szCs w:val="20"/>
        </w:rPr>
      </w:pPr>
    </w:p>
    <w:p w14:paraId="70F073D8" w14:textId="77777777" w:rsidR="00EF5A72" w:rsidRDefault="00000000">
      <w:pPr>
        <w:widowControl/>
        <w:spacing w:after="0" w:line="240" w:lineRule="auto"/>
        <w:rPr>
          <w:rFonts w:ascii="Verdana" w:eastAsia="Verdana" w:hAnsi="Verdana" w:cs="Verdana"/>
          <w:sz w:val="20"/>
          <w:szCs w:val="20"/>
        </w:rPr>
      </w:pPr>
      <w:r>
        <w:rPr>
          <w:rFonts w:ascii="Verdana" w:eastAsia="Verdana" w:hAnsi="Verdana" w:cs="Verdana"/>
          <w:sz w:val="20"/>
          <w:szCs w:val="20"/>
        </w:rPr>
        <w:t>The VMO provides reports on vendor risks, performance, and spend monitoring activities. Reports are categorized as follows:</w:t>
      </w:r>
    </w:p>
    <w:p w14:paraId="53991EDA" w14:textId="77777777" w:rsidR="00EF5A72" w:rsidRDefault="00EF5A72">
      <w:pPr>
        <w:widowControl/>
        <w:spacing w:after="0" w:line="240" w:lineRule="auto"/>
        <w:rPr>
          <w:rFonts w:ascii="Verdana" w:eastAsia="Verdana" w:hAnsi="Verdana" w:cs="Verdana"/>
          <w:sz w:val="20"/>
          <w:szCs w:val="20"/>
        </w:rPr>
      </w:pPr>
    </w:p>
    <w:p w14:paraId="344174ED" w14:textId="77777777" w:rsidR="00EF5A72" w:rsidRDefault="00000000">
      <w:pPr>
        <w:widowControl/>
        <w:numPr>
          <w:ilvl w:val="0"/>
          <w:numId w:val="1"/>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On-Demand Reports</w:t>
      </w:r>
      <w:r>
        <w:rPr>
          <w:rFonts w:ascii="Verdana" w:eastAsia="Verdana" w:hAnsi="Verdana" w:cs="Verdana"/>
          <w:sz w:val="20"/>
          <w:szCs w:val="20"/>
        </w:rPr>
        <w:t>: Ad hoc reports triggered by fraud or compliance concerns.</w:t>
      </w:r>
    </w:p>
    <w:p w14:paraId="4E2F78DF" w14:textId="77777777" w:rsidR="00EF5A72" w:rsidRDefault="00000000">
      <w:pPr>
        <w:widowControl/>
        <w:numPr>
          <w:ilvl w:val="0"/>
          <w:numId w:val="1"/>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Executive Committee Reviews</w:t>
      </w:r>
      <w:r>
        <w:rPr>
          <w:rFonts w:ascii="Verdana" w:eastAsia="Verdana" w:hAnsi="Verdana" w:cs="Verdana"/>
          <w:sz w:val="20"/>
          <w:szCs w:val="20"/>
        </w:rPr>
        <w:t>: Quarterly and yearly reports for the executive committee, with detailed reports as requested.</w:t>
      </w:r>
    </w:p>
    <w:p w14:paraId="0E3CD583" w14:textId="77777777" w:rsidR="00EF5A72" w:rsidRDefault="00000000">
      <w:pPr>
        <w:widowControl/>
        <w:numPr>
          <w:ilvl w:val="0"/>
          <w:numId w:val="1"/>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Oversight Committee</w:t>
      </w:r>
      <w:r>
        <w:rPr>
          <w:rFonts w:ascii="Verdana" w:eastAsia="Verdana" w:hAnsi="Verdana" w:cs="Verdana"/>
          <w:sz w:val="20"/>
          <w:szCs w:val="20"/>
        </w:rPr>
        <w:t>: Monthly accounting, risk, and performance reports for the oversight committee, including board of director and executive committee reports.</w:t>
      </w:r>
    </w:p>
    <w:p w14:paraId="4ED7B58A" w14:textId="77777777" w:rsidR="00EF5A72" w:rsidRDefault="00000000">
      <w:pPr>
        <w:widowControl/>
        <w:numPr>
          <w:ilvl w:val="0"/>
          <w:numId w:val="1"/>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Technology Reviews</w:t>
      </w:r>
      <w:r>
        <w:rPr>
          <w:rFonts w:ascii="Verdana" w:eastAsia="Verdana" w:hAnsi="Verdana" w:cs="Verdana"/>
          <w:sz w:val="20"/>
          <w:szCs w:val="20"/>
        </w:rPr>
        <w:t>: IT vendor reviews and reports conducted by the CIO or designated managers with expertise.</w:t>
      </w:r>
    </w:p>
    <w:p w14:paraId="445C5CC1" w14:textId="77777777" w:rsidR="00EF5A72" w:rsidRDefault="00000000">
      <w:pPr>
        <w:pStyle w:val="Heading1"/>
        <w:widowControl/>
        <w:spacing w:after="0" w:line="240" w:lineRule="auto"/>
      </w:pPr>
      <w:bookmarkStart w:id="18" w:name="_Toc242777605"/>
      <w:r>
        <w:t>DISCIPLINARY ACTION &amp; TERMINATION</w:t>
      </w:r>
      <w:bookmarkEnd w:id="18"/>
    </w:p>
    <w:p w14:paraId="265F27FD" w14:textId="77777777" w:rsidR="00EF5A72" w:rsidRDefault="00EF5A72">
      <w:pPr>
        <w:widowControl/>
        <w:spacing w:after="0" w:line="240" w:lineRule="auto"/>
        <w:rPr>
          <w:rFonts w:ascii="Verdana" w:eastAsia="Verdana" w:hAnsi="Verdana" w:cs="Verdana"/>
          <w:sz w:val="20"/>
          <w:szCs w:val="20"/>
        </w:rPr>
      </w:pPr>
    </w:p>
    <w:p w14:paraId="2B8DE084" w14:textId="77777777" w:rsidR="00EF5A72" w:rsidRDefault="00000000">
      <w:pPr>
        <w:widowControl/>
        <w:spacing w:after="0" w:line="240" w:lineRule="auto"/>
        <w:rPr>
          <w:rFonts w:ascii="Verdana" w:eastAsia="Verdana" w:hAnsi="Verdana" w:cs="Verdana"/>
          <w:sz w:val="20"/>
          <w:szCs w:val="20"/>
        </w:rPr>
      </w:pPr>
      <w:r>
        <w:rPr>
          <w:rFonts w:ascii="Verdana" w:eastAsia="Verdana" w:hAnsi="Verdana" w:cs="Verdana"/>
          <w:sz w:val="20"/>
          <w:szCs w:val="20"/>
        </w:rPr>
        <w:t>Zediant Inc. and the VMO monitor vendors to ensure performance and compliance. If a vendor fails to follow contracted procedures, appropriate actions are taken:</w:t>
      </w:r>
    </w:p>
    <w:p w14:paraId="7CEAE5FE" w14:textId="77777777" w:rsidR="00EF5A72" w:rsidRDefault="00EF5A72">
      <w:pPr>
        <w:widowControl/>
        <w:spacing w:after="0" w:line="240" w:lineRule="auto"/>
        <w:rPr>
          <w:rFonts w:ascii="Verdana" w:eastAsia="Verdana" w:hAnsi="Verdana" w:cs="Verdana"/>
          <w:sz w:val="20"/>
          <w:szCs w:val="20"/>
        </w:rPr>
      </w:pPr>
    </w:p>
    <w:p w14:paraId="5A862A66" w14:textId="77777777" w:rsidR="00EF5A72" w:rsidRDefault="00000000">
      <w:pPr>
        <w:widowControl/>
        <w:spacing w:after="0" w:line="240" w:lineRule="auto"/>
        <w:rPr>
          <w:rFonts w:ascii="Verdana" w:eastAsia="Verdana" w:hAnsi="Verdana" w:cs="Verdana"/>
          <w:sz w:val="20"/>
          <w:szCs w:val="20"/>
        </w:rPr>
      </w:pPr>
      <w:r>
        <w:rPr>
          <w:rFonts w:ascii="Verdana" w:eastAsia="Verdana" w:hAnsi="Verdana" w:cs="Verdana"/>
          <w:sz w:val="20"/>
          <w:szCs w:val="20"/>
        </w:rPr>
        <w:t>Disciplinary actions and termination follow these steps:</w:t>
      </w:r>
    </w:p>
    <w:p w14:paraId="68155EE6" w14:textId="77777777" w:rsidR="00EF5A72" w:rsidRDefault="00EF5A72">
      <w:pPr>
        <w:widowControl/>
        <w:spacing w:after="0" w:line="240" w:lineRule="auto"/>
        <w:rPr>
          <w:rFonts w:ascii="Verdana" w:eastAsia="Verdana" w:hAnsi="Verdana" w:cs="Verdana"/>
          <w:sz w:val="20"/>
          <w:szCs w:val="20"/>
        </w:rPr>
      </w:pPr>
    </w:p>
    <w:p w14:paraId="16E68136" w14:textId="77777777" w:rsidR="00EF5A72" w:rsidRDefault="00000000">
      <w:pPr>
        <w:widowControl/>
        <w:numPr>
          <w:ilvl w:val="0"/>
          <w:numId w:val="9"/>
        </w:numPr>
        <w:spacing w:after="0" w:line="240" w:lineRule="auto"/>
        <w:rPr>
          <w:rFonts w:ascii="Verdana" w:eastAsia="Verdana" w:hAnsi="Verdana" w:cs="Verdana"/>
          <w:sz w:val="20"/>
          <w:szCs w:val="20"/>
        </w:rPr>
      </w:pPr>
      <w:r>
        <w:rPr>
          <w:rFonts w:ascii="Verdana" w:eastAsia="Verdana" w:hAnsi="Verdana" w:cs="Verdana"/>
          <w:b/>
          <w:sz w:val="20"/>
          <w:szCs w:val="20"/>
        </w:rPr>
        <w:t>Oral Reprimand</w:t>
      </w:r>
      <w:r>
        <w:rPr>
          <w:rFonts w:ascii="Verdana" w:eastAsia="Verdana" w:hAnsi="Verdana" w:cs="Verdana"/>
          <w:sz w:val="20"/>
          <w:szCs w:val="20"/>
        </w:rPr>
        <w:t>: Discussion between the designated VMO manager and the vendor to address poor performance or issues.</w:t>
      </w:r>
    </w:p>
    <w:p w14:paraId="23F7BE6C" w14:textId="77777777" w:rsidR="00EF5A72" w:rsidRDefault="00000000">
      <w:pPr>
        <w:widowControl/>
        <w:numPr>
          <w:ilvl w:val="0"/>
          <w:numId w:val="9"/>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Written Reprimand</w:t>
      </w:r>
      <w:r>
        <w:rPr>
          <w:rFonts w:ascii="Verdana" w:eastAsia="Verdana" w:hAnsi="Verdana" w:cs="Verdana"/>
          <w:sz w:val="20"/>
          <w:szCs w:val="20"/>
        </w:rPr>
        <w:t>: If problems persist, the VMO submits a written notice to the vendor, outlining the problem, potential solution, and timeframe for resolution.</w:t>
      </w:r>
    </w:p>
    <w:p w14:paraId="72510BD9" w14:textId="77777777" w:rsidR="00EF5A72" w:rsidRDefault="00000000">
      <w:pPr>
        <w:widowControl/>
        <w:numPr>
          <w:ilvl w:val="0"/>
          <w:numId w:val="9"/>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Arbitration</w:t>
      </w:r>
      <w:r>
        <w:rPr>
          <w:rFonts w:ascii="Verdana" w:eastAsia="Verdana" w:hAnsi="Verdana" w:cs="Verdana"/>
          <w:sz w:val="20"/>
          <w:szCs w:val="20"/>
        </w:rPr>
        <w:t>: Disputes subject to arbitration as outlined in Zediant Inc. contracts, with arbitrators agreed upon by both parties.</w:t>
      </w:r>
    </w:p>
    <w:p w14:paraId="2A408323" w14:textId="77777777" w:rsidR="00EF5A72" w:rsidRDefault="00000000">
      <w:pPr>
        <w:widowControl/>
        <w:numPr>
          <w:ilvl w:val="0"/>
          <w:numId w:val="9"/>
        </w:numPr>
        <w:pBdr>
          <w:top w:val="nil"/>
          <w:left w:val="nil"/>
          <w:bottom w:val="nil"/>
          <w:right w:val="nil"/>
          <w:between w:val="nil"/>
        </w:pBdr>
        <w:spacing w:after="0" w:line="240" w:lineRule="auto"/>
        <w:rPr>
          <w:rFonts w:ascii="Verdana" w:eastAsia="Verdana" w:hAnsi="Verdana" w:cs="Verdana"/>
          <w:sz w:val="20"/>
          <w:szCs w:val="20"/>
        </w:rPr>
      </w:pPr>
      <w:r>
        <w:rPr>
          <w:rFonts w:ascii="Verdana" w:eastAsia="Verdana" w:hAnsi="Verdana" w:cs="Verdana"/>
          <w:b/>
          <w:sz w:val="20"/>
          <w:szCs w:val="20"/>
        </w:rPr>
        <w:t>Termination</w:t>
      </w:r>
      <w:r>
        <w:rPr>
          <w:rFonts w:ascii="Verdana" w:eastAsia="Verdana" w:hAnsi="Verdana" w:cs="Verdana"/>
          <w:sz w:val="20"/>
          <w:szCs w:val="20"/>
        </w:rPr>
        <w:t>: If the vendor cannot comply with contract terms after oral and written reprimands, the relationship is terminated according to the steps specified in the vendor contract.</w:t>
      </w:r>
    </w:p>
    <w:p w14:paraId="07F3A092" w14:textId="77777777" w:rsidR="00EF5A72" w:rsidRDefault="00000000">
      <w:pPr>
        <w:widowControl/>
        <w:numPr>
          <w:ilvl w:val="0"/>
          <w:numId w:val="9"/>
        </w:numPr>
        <w:spacing w:after="0" w:line="240" w:lineRule="auto"/>
        <w:rPr>
          <w:rFonts w:ascii="Verdana" w:eastAsia="Verdana" w:hAnsi="Verdana" w:cs="Verdana"/>
          <w:sz w:val="20"/>
          <w:szCs w:val="20"/>
        </w:rPr>
      </w:pPr>
      <w:r>
        <w:rPr>
          <w:rFonts w:ascii="Verdana" w:eastAsia="Verdana" w:hAnsi="Verdana" w:cs="Verdana"/>
          <w:b/>
          <w:sz w:val="20"/>
          <w:szCs w:val="20"/>
        </w:rPr>
        <w:t>Reinstatement</w:t>
      </w:r>
      <w:r>
        <w:rPr>
          <w:rFonts w:ascii="Verdana" w:eastAsia="Verdana" w:hAnsi="Verdana" w:cs="Verdana"/>
          <w:sz w:val="20"/>
          <w:szCs w:val="20"/>
        </w:rPr>
        <w:t>: Vendors with unacceptable performance may apply for reinstatement and undergo vetting based on the VMO's due diligence and standards.</w:t>
      </w:r>
    </w:p>
    <w:p w14:paraId="2863C620" w14:textId="77777777" w:rsidR="00EF5A72" w:rsidRDefault="00EF5A72">
      <w:pPr>
        <w:widowControl/>
        <w:spacing w:after="0" w:line="240" w:lineRule="auto"/>
        <w:rPr>
          <w:rFonts w:ascii="Verdana" w:eastAsia="Verdana" w:hAnsi="Verdana" w:cs="Verdana"/>
          <w:sz w:val="20"/>
          <w:szCs w:val="20"/>
        </w:rPr>
      </w:pPr>
    </w:p>
    <w:p w14:paraId="16B47F3C" w14:textId="77777777" w:rsidR="00EF5A72" w:rsidRDefault="00EF5A72">
      <w:pPr>
        <w:widowControl/>
        <w:spacing w:after="0" w:line="240" w:lineRule="auto"/>
        <w:rPr>
          <w:rFonts w:ascii="Verdana" w:eastAsia="Verdana" w:hAnsi="Verdana" w:cs="Verdana"/>
          <w:sz w:val="20"/>
          <w:szCs w:val="20"/>
        </w:rPr>
      </w:pPr>
    </w:p>
    <w:p w14:paraId="2581F0D2" w14:textId="77777777" w:rsidR="00EF5A72" w:rsidRDefault="00EF5A72">
      <w:pPr>
        <w:widowControl/>
        <w:spacing w:after="0" w:line="240" w:lineRule="auto"/>
        <w:rPr>
          <w:rFonts w:ascii="Verdana" w:eastAsia="Verdana" w:hAnsi="Verdana" w:cs="Verdana"/>
          <w:sz w:val="20"/>
          <w:szCs w:val="20"/>
        </w:rPr>
      </w:pPr>
    </w:p>
    <w:p w14:paraId="050081D5" w14:textId="77777777" w:rsidR="00EF5A72" w:rsidRDefault="00EF5A72">
      <w:pPr>
        <w:widowControl/>
        <w:spacing w:after="0" w:line="240" w:lineRule="auto"/>
        <w:rPr>
          <w:rFonts w:ascii="Verdana" w:eastAsia="Verdana" w:hAnsi="Verdana" w:cs="Verdana"/>
          <w:sz w:val="20"/>
          <w:szCs w:val="20"/>
        </w:rPr>
      </w:pPr>
    </w:p>
    <w:p w14:paraId="7F817E2D" w14:textId="77777777" w:rsidR="00EF5A72" w:rsidRDefault="00EF5A72">
      <w:pPr>
        <w:widowControl/>
        <w:spacing w:after="0" w:line="240" w:lineRule="auto"/>
        <w:rPr>
          <w:rFonts w:ascii="Verdana" w:eastAsia="Verdana" w:hAnsi="Verdana" w:cs="Verdana"/>
          <w:sz w:val="20"/>
          <w:szCs w:val="20"/>
        </w:rPr>
      </w:pPr>
    </w:p>
    <w:p w14:paraId="25D26E39" w14:textId="77777777" w:rsidR="00EF5A72" w:rsidRDefault="00EF5A72">
      <w:pPr>
        <w:widowControl/>
        <w:spacing w:after="0" w:line="240" w:lineRule="auto"/>
        <w:rPr>
          <w:rFonts w:ascii="Verdana" w:eastAsia="Verdana" w:hAnsi="Verdana" w:cs="Verdana"/>
          <w:sz w:val="20"/>
          <w:szCs w:val="20"/>
        </w:rPr>
      </w:pPr>
    </w:p>
    <w:p w14:paraId="14DB4D83" w14:textId="77777777" w:rsidR="00EF5A72" w:rsidRDefault="00EF5A72">
      <w:pPr>
        <w:pStyle w:val="Heading1"/>
        <w:keepLines/>
        <w:widowControl/>
        <w:spacing w:before="0" w:after="0" w:line="240" w:lineRule="auto"/>
        <w:rPr>
          <w:rFonts w:ascii="Verdana" w:eastAsia="Verdana" w:hAnsi="Verdana" w:cs="Verdana"/>
          <w:sz w:val="20"/>
          <w:szCs w:val="20"/>
        </w:rPr>
      </w:pPr>
      <w:bookmarkStart w:id="19" w:name="_heading=h.dkrua4b6bt8j" w:colFirst="0" w:colLast="0"/>
      <w:bookmarkEnd w:id="19"/>
    </w:p>
    <w:sectPr w:rsidR="00EF5A72" w:rsidSect="003A073D">
      <w:headerReference w:type="default" r:id="rId8"/>
      <w:footerReference w:type="default" r:id="rId9"/>
      <w:headerReference w:type="first" r:id="rId10"/>
      <w:footerReference w:type="first" r:id="rId11"/>
      <w:pgSz w:w="11906" w:h="16838"/>
      <w:pgMar w:top="567" w:right="1133" w:bottom="1440" w:left="851"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AF68BE" w14:textId="77777777" w:rsidR="00382855" w:rsidRDefault="00382855">
      <w:pPr>
        <w:spacing w:after="0" w:line="240" w:lineRule="auto"/>
      </w:pPr>
      <w:r>
        <w:separator/>
      </w:r>
    </w:p>
  </w:endnote>
  <w:endnote w:type="continuationSeparator" w:id="0">
    <w:p w14:paraId="7C24652C" w14:textId="77777777" w:rsidR="00382855" w:rsidRDefault="003828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38E2736A-F4BD-4440-A75E-9A3F71A37368}"/>
    <w:embedBold r:id="rId2" w:fontKey="{A44D592E-F564-48D4-B9C0-CFA5DF07748C}"/>
  </w:font>
  <w:font w:name="Cambria">
    <w:panose1 w:val="02040503050406030204"/>
    <w:charset w:val="00"/>
    <w:family w:val="roman"/>
    <w:pitch w:val="variable"/>
    <w:sig w:usb0="E00006FF" w:usb1="420024FF" w:usb2="02000000" w:usb3="00000000" w:csb0="0000019F" w:csb1="00000000"/>
    <w:embedRegular r:id="rId3" w:fontKey="{D307AF6E-5872-4FC6-8EB6-010C3C78BFAE}"/>
    <w:embedBold r:id="rId4" w:fontKey="{A965D597-5E71-4ADB-B511-499C093D1828}"/>
    <w:embedBoldItalic r:id="rId5" w:fontKey="{B33F4DC0-8770-469B-BA99-F34A82078B9A}"/>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6" w:fontKey="{86C0713D-3BDB-4E0F-B71D-828D87456118}"/>
  </w:font>
  <w:font w:name="Georgia">
    <w:panose1 w:val="02040502050405020303"/>
    <w:charset w:val="00"/>
    <w:family w:val="roman"/>
    <w:pitch w:val="variable"/>
    <w:sig w:usb0="00000287" w:usb1="00000000" w:usb2="00000000" w:usb3="00000000" w:csb0="0000009F" w:csb1="00000000"/>
    <w:embedRegular r:id="rId7" w:fontKey="{7D263524-8AEC-4920-BBE9-54A95B12D17B}"/>
    <w:embedItalic r:id="rId8" w:fontKey="{981D5591-4047-432E-BB77-5DF6831E382C}"/>
  </w:font>
  <w:font w:name="Verdana">
    <w:panose1 w:val="020B0604030504040204"/>
    <w:charset w:val="00"/>
    <w:family w:val="swiss"/>
    <w:pitch w:val="variable"/>
    <w:sig w:usb0="A00006FF" w:usb1="4000205B" w:usb2="00000010" w:usb3="00000000" w:csb0="0000019F" w:csb1="00000000"/>
    <w:embedRegular r:id="rId9" w:fontKey="{9D397C96-0591-4F0D-A731-0F3EDE84DB32}"/>
    <w:embedBold r:id="rId10" w:fontKey="{FDC41A02-9EAD-4409-9BF2-B3E84ABC490F}"/>
  </w:font>
  <w:font w:name="Helvetica Neue">
    <w:altName w:val="Arial"/>
    <w:charset w:val="00"/>
    <w:family w:val="auto"/>
    <w:pitch w:val="default"/>
    <w:embedRegular r:id="rId11" w:fontKey="{402ACFA6-5990-4354-9C1E-BB46577CA392}"/>
    <w:embedBold r:id="rId12" w:fontKey="{B8E42BD9-22C5-4A13-BCEB-085EE95BB447}"/>
  </w:font>
  <w:font w:name="Open Sans Regular">
    <w:altName w:val="Open Sans"/>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3E284" w14:textId="77777777" w:rsidR="00EF5A72" w:rsidRDefault="00EF5A72">
    <w:pPr>
      <w:widowControl/>
      <w:rPr>
        <w:rFonts w:ascii="Open Sans Regular" w:eastAsia="Open Sans Regular" w:hAnsi="Open Sans Regular" w:cs="Open Sans Regular"/>
        <w:sz w:val="16"/>
      </w:rPr>
    </w:pPr>
  </w:p>
  <w:tbl>
    <w:tblPr>
      <w:tblW w:w="9924" w:type="dxa"/>
      <w:tblLayout w:type="fixed"/>
      <w:tblLook w:val="0600" w:firstRow="0" w:lastRow="0" w:firstColumn="0" w:lastColumn="0" w:noHBand="1" w:noVBand="1"/>
    </w:tblPr>
    <w:tblGrid>
      <w:gridCol w:w="3308"/>
      <w:gridCol w:w="3308"/>
      <w:gridCol w:w="3308"/>
    </w:tblGrid>
    <w:tr w:rsidR="00EF5A72" w14:paraId="2A4FB22F" w14:textId="77777777">
      <w:tc>
        <w:tcPr>
          <w:tcW w:w="3308" w:type="dxa"/>
          <w:tcBorders>
            <w:top w:val="none" w:sz="0" w:space="0" w:color="000000"/>
            <w:left w:val="none" w:sz="0" w:space="0" w:color="000000"/>
            <w:bottom w:val="none" w:sz="0" w:space="0" w:color="000000"/>
            <w:right w:val="none" w:sz="0" w:space="0" w:color="000000"/>
          </w:tcBorders>
          <w:tcMar>
            <w:top w:w="43" w:type="dxa"/>
            <w:left w:w="101" w:type="dxa"/>
            <w:bottom w:w="43" w:type="dxa"/>
            <w:right w:w="43" w:type="dxa"/>
          </w:tcMar>
        </w:tcPr>
        <w:p w14:paraId="5E957F8C" w14:textId="77777777" w:rsidR="00EF5A72" w:rsidRDefault="00000000">
          <w:pPr>
            <w:widowControl/>
            <w:spacing w:after="0"/>
            <w:rPr>
              <w:rFonts w:ascii="Open Sans Regular" w:eastAsia="Open Sans Regular" w:hAnsi="Open Sans Regular" w:cs="Open Sans Regular"/>
              <w:sz w:val="16"/>
            </w:rPr>
          </w:pPr>
          <w:r>
            <w:rPr>
              <w:rFonts w:ascii="Open Sans Regular" w:eastAsia="Open Sans Regular" w:hAnsi="Open Sans Regular" w:cs="Open Sans Regular"/>
              <w:sz w:val="16"/>
            </w:rPr>
            <w:t>Zediant Technologies</w:t>
          </w:r>
        </w:p>
        <w:p w14:paraId="284B1466" w14:textId="77777777" w:rsidR="00EF5A72" w:rsidRDefault="00000000">
          <w:pPr>
            <w:widowControl/>
            <w:spacing w:after="0"/>
            <w:rPr>
              <w:rFonts w:ascii="Open Sans Regular" w:eastAsia="Open Sans Regular" w:hAnsi="Open Sans Regular" w:cs="Open Sans Regular"/>
              <w:sz w:val="16"/>
            </w:rPr>
          </w:pPr>
          <w:r>
            <w:rPr>
              <w:rFonts w:ascii="Open Sans Regular" w:eastAsia="Open Sans Regular" w:hAnsi="Open Sans Regular" w:cs="Open Sans Regular"/>
              <w:sz w:val="16"/>
            </w:rPr>
            <w:t xml:space="preserve">Ergo Tower, 4th Floor, Unit 402, </w:t>
          </w:r>
        </w:p>
        <w:p w14:paraId="635A59A1" w14:textId="77777777" w:rsidR="00EF5A72" w:rsidRDefault="00000000">
          <w:pPr>
            <w:widowControl/>
            <w:spacing w:after="0"/>
            <w:rPr>
              <w:rFonts w:ascii="Open Sans Regular" w:eastAsia="Open Sans Regular" w:hAnsi="Open Sans Regular" w:cs="Open Sans Regular"/>
              <w:sz w:val="16"/>
            </w:rPr>
          </w:pPr>
          <w:r>
            <w:rPr>
              <w:rFonts w:ascii="Open Sans Regular" w:eastAsia="Open Sans Regular" w:hAnsi="Open Sans Regular" w:cs="Open Sans Regular"/>
              <w:sz w:val="16"/>
            </w:rPr>
            <w:t>Salt Lake City, Sector-V, Kolkata-91</w:t>
          </w:r>
        </w:p>
      </w:tc>
      <w:tc>
        <w:tcPr>
          <w:tcW w:w="3308" w:type="dxa"/>
          <w:tcBorders>
            <w:top w:val="none" w:sz="0" w:space="0" w:color="000000"/>
            <w:left w:val="none" w:sz="0" w:space="0" w:color="000000"/>
            <w:bottom w:val="none" w:sz="0" w:space="0" w:color="000000"/>
            <w:right w:val="none" w:sz="0" w:space="0" w:color="000000"/>
          </w:tcBorders>
          <w:tcMar>
            <w:top w:w="43" w:type="dxa"/>
            <w:left w:w="101" w:type="dxa"/>
            <w:bottom w:w="43" w:type="dxa"/>
            <w:right w:w="43" w:type="dxa"/>
          </w:tcMar>
          <w:vAlign w:val="center"/>
        </w:tcPr>
        <w:p w14:paraId="1C2D67C2" w14:textId="77777777" w:rsidR="00EF5A72" w:rsidRDefault="00EF5A72">
          <w:pPr>
            <w:widowControl/>
            <w:spacing w:after="0"/>
            <w:jc w:val="center"/>
            <w:rPr>
              <w:rFonts w:ascii="Open Sans Regular" w:eastAsia="Open Sans Regular" w:hAnsi="Open Sans Regular" w:cs="Open Sans Regular"/>
              <w:sz w:val="16"/>
            </w:rPr>
          </w:pPr>
        </w:p>
      </w:tc>
      <w:tc>
        <w:tcPr>
          <w:tcW w:w="3308" w:type="dxa"/>
          <w:tcBorders>
            <w:top w:val="none" w:sz="0" w:space="0" w:color="000000"/>
            <w:left w:val="none" w:sz="0" w:space="0" w:color="000000"/>
            <w:bottom w:val="none" w:sz="0" w:space="0" w:color="000000"/>
            <w:right w:val="none" w:sz="0" w:space="0" w:color="000000"/>
          </w:tcBorders>
          <w:tcMar>
            <w:top w:w="43" w:type="dxa"/>
            <w:left w:w="101" w:type="dxa"/>
            <w:bottom w:w="43" w:type="dxa"/>
            <w:right w:w="43" w:type="dxa"/>
          </w:tcMar>
          <w:vAlign w:val="center"/>
        </w:tcPr>
        <w:p w14:paraId="14F23108" w14:textId="77777777" w:rsidR="00EF5A72" w:rsidRDefault="00000000">
          <w:pPr>
            <w:widowControl/>
            <w:spacing w:after="0"/>
            <w:jc w:val="right"/>
            <w:rPr>
              <w:rFonts w:ascii="Open Sans Regular" w:eastAsia="Open Sans Regular" w:hAnsi="Open Sans Regular" w:cs="Open Sans Regular"/>
              <w:sz w:val="16"/>
            </w:rPr>
          </w:pPr>
          <w:r>
            <w:rPr>
              <w:rFonts w:ascii="Open Sans Regular" w:eastAsia="Open Sans Regular" w:hAnsi="Open Sans Regular" w:cs="Open Sans Regular"/>
              <w:sz w:val="16"/>
            </w:rPr>
            <w:t>www.zediant.com</w:t>
          </w:r>
        </w:p>
      </w:tc>
    </w:tr>
  </w:tbl>
  <w:p w14:paraId="4E738A58" w14:textId="77777777" w:rsidR="00EF5A72" w:rsidRDefault="00EF5A72">
    <w:pPr>
      <w:widowControl/>
      <w:spacing w:after="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8D03A" w14:textId="77777777" w:rsidR="00EF5A72" w:rsidRDefault="00000000">
    <w:pPr>
      <w:widowControl/>
      <w:pBdr>
        <w:top w:val="none" w:sz="0" w:space="0" w:color="000000"/>
        <w:left w:val="none" w:sz="0" w:space="0" w:color="000000"/>
        <w:bottom w:val="none" w:sz="0" w:space="0" w:color="000000"/>
        <w:right w:val="none" w:sz="0" w:space="0" w:color="000000"/>
        <w:between w:val="none" w:sz="0" w:space="0" w:color="000000"/>
      </w:pBdr>
      <w:tabs>
        <w:tab w:val="center" w:pos="4512"/>
        <w:tab w:val="right" w:pos="9025"/>
      </w:tabs>
      <w:rPr>
        <w:color w:val="000000"/>
        <w:sz w:val="22"/>
      </w:rPr>
    </w:pPr>
    <w:r>
      <w:rPr>
        <w:noProof/>
      </w:rPr>
      <w:drawing>
        <wp:anchor distT="0" distB="0" distL="114300" distR="114300" simplePos="0" relativeHeight="251656192" behindDoc="0" locked="0" layoutInCell="1" allowOverlap="1" wp14:anchorId="77980841" wp14:editId="1E818A9E">
          <wp:simplePos x="0" y="0"/>
          <wp:positionH relativeFrom="column">
            <wp:posOffset>50768</wp:posOffset>
          </wp:positionH>
          <wp:positionV relativeFrom="paragraph">
            <wp:posOffset>12668</wp:posOffset>
          </wp:positionV>
          <wp:extent cx="6296025" cy="95250"/>
          <wp:effectExtent l="0" t="0" r="0" b="0"/>
          <wp:wrapNone/>
          <wp:docPr id="966633502" name="A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i"/>
                  <pic:cNvPicPr>
                    <a:picLocks/>
                  </pic:cNvPicPr>
                </pic:nvPicPr>
                <pic:blipFill>
                  <a:blip r:embed="rId1"/>
                  <a:srcRect/>
                  <a:stretch/>
                </pic:blipFill>
                <pic:spPr>
                  <a:xfrm>
                    <a:off x="0" y="0"/>
                    <a:ext cx="6296025" cy="95250"/>
                  </a:xfrm>
                  <a:prstGeom prst="rect">
                    <a:avLst/>
                  </a:prstGeom>
                </pic:spPr>
              </pic:pic>
            </a:graphicData>
          </a:graphic>
        </wp:anchor>
      </w:drawing>
    </w:r>
    <w:r>
      <w:rPr>
        <w:noProof/>
      </w:rPr>
      <w:drawing>
        <wp:anchor distT="0" distB="0" distL="114300" distR="114300" simplePos="0" relativeHeight="251659264" behindDoc="0" locked="0" layoutInCell="1" allowOverlap="1" wp14:anchorId="6AAFA38A" wp14:editId="6F21E4A9">
          <wp:simplePos x="0" y="0"/>
          <wp:positionH relativeFrom="column">
            <wp:posOffset>0</wp:posOffset>
          </wp:positionH>
          <wp:positionV relativeFrom="paragraph">
            <wp:posOffset>139731</wp:posOffset>
          </wp:positionV>
          <wp:extent cx="2876550" cy="714375"/>
          <wp:effectExtent l="0" t="0" r="0" b="0"/>
          <wp:wrapNone/>
          <wp:docPr id="1342467438" name="A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i"/>
                  <pic:cNvPicPr>
                    <a:picLocks/>
                  </pic:cNvPicPr>
                </pic:nvPicPr>
                <pic:blipFill>
                  <a:blip r:embed="rId2"/>
                  <a:srcRect/>
                  <a:stretch/>
                </pic:blipFill>
                <pic:spPr>
                  <a:xfrm>
                    <a:off x="0" y="0"/>
                    <a:ext cx="2876550" cy="714375"/>
                  </a:xfrm>
                  <a:prstGeom prst="rect">
                    <a:avLst/>
                  </a:prstGeom>
                </pic:spPr>
              </pic:pic>
            </a:graphicData>
          </a:graphic>
        </wp:anchor>
      </w:drawing>
    </w:r>
    <w:r>
      <w:rPr>
        <w:noProof/>
      </w:rPr>
      <w:drawing>
        <wp:anchor distT="0" distB="0" distL="114300" distR="114300" simplePos="0" relativeHeight="251655168" behindDoc="0" locked="0" layoutInCell="1" allowOverlap="1" wp14:anchorId="024E0715" wp14:editId="06726276">
          <wp:simplePos x="0" y="0"/>
          <wp:positionH relativeFrom="column">
            <wp:posOffset>3632168</wp:posOffset>
          </wp:positionH>
          <wp:positionV relativeFrom="paragraph">
            <wp:posOffset>88868</wp:posOffset>
          </wp:positionV>
          <wp:extent cx="2638425" cy="714375"/>
          <wp:effectExtent l="0" t="0" r="0" b="0"/>
          <wp:wrapNone/>
          <wp:docPr id="434035907" name="A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i"/>
                  <pic:cNvPicPr>
                    <a:picLocks/>
                  </pic:cNvPicPr>
                </pic:nvPicPr>
                <pic:blipFill>
                  <a:blip r:embed="rId3"/>
                  <a:srcRect/>
                  <a:stretch/>
                </pic:blipFill>
                <pic:spPr>
                  <a:xfrm>
                    <a:off x="0" y="0"/>
                    <a:ext cx="2638425" cy="714375"/>
                  </a:xfrm>
                  <a:prstGeom prst="rect">
                    <a:avLst/>
                  </a:prstGeom>
                </pic:spPr>
              </pic:pic>
            </a:graphicData>
          </a:graphic>
        </wp:anchor>
      </w:drawing>
    </w:r>
  </w:p>
  <w:p w14:paraId="27F92A59" w14:textId="77777777" w:rsidR="00EF5A72" w:rsidRDefault="00000000">
    <w:pPr>
      <w:widowControl/>
      <w:pBdr>
        <w:top w:val="none" w:sz="0" w:space="0" w:color="000000"/>
        <w:left w:val="none" w:sz="0" w:space="0" w:color="000000"/>
        <w:bottom w:val="none" w:sz="0" w:space="0" w:color="000000"/>
        <w:right w:val="none" w:sz="0" w:space="0" w:color="000000"/>
        <w:between w:val="none" w:sz="0" w:space="0" w:color="000000"/>
      </w:pBdr>
      <w:tabs>
        <w:tab w:val="center" w:pos="4512"/>
        <w:tab w:val="right" w:pos="9025"/>
      </w:tabs>
      <w:spacing w:after="908"/>
      <w:rPr>
        <w:color w:val="000000"/>
        <w:sz w:val="22"/>
      </w:rPr>
    </w:pPr>
    <w:r>
      <w:rPr>
        <w:color w:val="000000"/>
        <w:sz w:val="22"/>
      </w:rPr>
      <w:t>Zediant Technologies</w:t>
    </w:r>
    <w:r>
      <w:br/>
    </w:r>
    <w:r>
      <w:rPr>
        <w:color w:val="000000"/>
        <w:sz w:val="22"/>
      </w:rPr>
      <w:t>CD-234, Salt Lake City, Kolkata - 700064</w:t>
    </w:r>
    <w:r>
      <w:tab/>
    </w:r>
    <w:r>
      <w:rPr>
        <w:color w:val="000000"/>
        <w:sz w:val="2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A357A" w14:textId="77777777" w:rsidR="00382855" w:rsidRDefault="00382855">
      <w:pPr>
        <w:spacing w:after="0" w:line="240" w:lineRule="auto"/>
      </w:pPr>
      <w:r>
        <w:separator/>
      </w:r>
    </w:p>
  </w:footnote>
  <w:footnote w:type="continuationSeparator" w:id="0">
    <w:p w14:paraId="0FBAF198" w14:textId="77777777" w:rsidR="00382855" w:rsidRDefault="003828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3351C" w14:textId="77777777" w:rsidR="00EF5A72" w:rsidRDefault="00EF5A72">
    <w:pPr>
      <w:widowControl/>
      <w:pBdr>
        <w:top w:val="none" w:sz="0" w:space="0" w:color="000000"/>
        <w:left w:val="none" w:sz="0" w:space="0" w:color="000000"/>
        <w:bottom w:val="none" w:sz="0" w:space="0" w:color="000000"/>
        <w:right w:val="none" w:sz="0" w:space="0" w:color="000000"/>
        <w:between w:val="none" w:sz="0" w:space="0" w:color="000000"/>
      </w:pBdr>
      <w:tabs>
        <w:tab w:val="center" w:pos="4512"/>
        <w:tab w:val="right" w:pos="9025"/>
      </w:tabs>
      <w:spacing w:after="0"/>
      <w:rPr>
        <w:rFonts w:ascii="Open Sans Regular" w:eastAsia="Open Sans Regular" w:hAnsi="Open Sans Regular" w:cs="Open Sans Regular"/>
        <w:color w:val="808080" w:themeColor="text1" w:themeTint="7F"/>
        <w:sz w:val="22"/>
      </w:rPr>
    </w:pPr>
  </w:p>
  <w:p w14:paraId="11B57C4F" w14:textId="6B67DA2A" w:rsidR="00EF5A72" w:rsidRPr="003A073D" w:rsidRDefault="00000000" w:rsidP="003A073D">
    <w:pPr>
      <w:widowControl/>
      <w:rPr>
        <w:rFonts w:ascii="Open Sans Regular" w:eastAsia="Open Sans Regular" w:hAnsi="Open Sans Regular" w:cs="Open Sans Regular"/>
      </w:rPr>
    </w:pPr>
    <w:r>
      <w:rPr>
        <w:noProof/>
      </w:rPr>
      <w:drawing>
        <wp:inline distT="0" distB="0" distL="0" distR="0" wp14:anchorId="7C8453EB" wp14:editId="7B945415">
          <wp:extent cx="1447800" cy="561975"/>
          <wp:effectExtent l="0" t="0" r="0" b="0"/>
          <wp:docPr id="1947989883" name="A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i"/>
                  <pic:cNvPicPr>
                    <a:picLocks/>
                  </pic:cNvPicPr>
                </pic:nvPicPr>
                <pic:blipFill>
                  <a:blip r:embed="rId1">
                    <a:alphaModFix/>
                  </a:blip>
                  <a:srcRect/>
                  <a:stretch/>
                </pic:blipFill>
                <pic:spPr>
                  <a:xfrm>
                    <a:off x="0" y="0"/>
                    <a:ext cx="1447800" cy="561975"/>
                  </a:xfrm>
                  <a:prstGeom prst="rect">
                    <a:avLst/>
                  </a:prstGeom>
                </pic:spPr>
              </pic:pic>
            </a:graphicData>
          </a:graphic>
        </wp:inline>
      </w:drawing>
    </w:r>
    <w:r>
      <w:pict w14:anchorId="046A9142">
        <v:rect id="_x0000_s1025" style="position:absolute;margin-left:0;margin-top:0;width:0;height:1pt;z-index:251660288;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t" filled="f" strokecolor="gray" strokeweight="1p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14946" w14:textId="037AA56D" w:rsidR="00EF5A72" w:rsidRDefault="00000000">
    <w:pPr>
      <w:widowControl/>
      <w:pBdr>
        <w:top w:val="none" w:sz="0" w:space="0" w:color="000000"/>
        <w:left w:val="none" w:sz="0" w:space="0" w:color="000000"/>
        <w:bottom w:val="none" w:sz="0" w:space="0" w:color="000000"/>
        <w:right w:val="none" w:sz="0" w:space="0" w:color="000000"/>
        <w:between w:val="none" w:sz="0" w:space="0" w:color="000000"/>
      </w:pBdr>
      <w:tabs>
        <w:tab w:val="center" w:pos="4512"/>
        <w:tab w:val="right" w:pos="9025"/>
      </w:tabs>
      <w:spacing w:before="708"/>
      <w:rPr>
        <w:color w:val="000000"/>
      </w:rPr>
    </w:pPr>
    <w:r>
      <w:rPr>
        <w:noProof/>
      </w:rPr>
      <w:drawing>
        <wp:anchor distT="0" distB="0" distL="114300" distR="114300" simplePos="0" relativeHeight="251658240" behindDoc="0" locked="0" layoutInCell="1" allowOverlap="1" wp14:anchorId="6BFF9C24" wp14:editId="1328FBE0">
          <wp:simplePos x="0" y="0"/>
          <wp:positionH relativeFrom="column">
            <wp:posOffset>114300</wp:posOffset>
          </wp:positionH>
          <wp:positionV relativeFrom="paragraph">
            <wp:posOffset>0</wp:posOffset>
          </wp:positionV>
          <wp:extent cx="1457325" cy="561975"/>
          <wp:effectExtent l="0" t="0" r="0" b="0"/>
          <wp:wrapSquare wrapText="bothSides"/>
          <wp:docPr id="1310166691" name="A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i"/>
                  <pic:cNvPicPr>
                    <a:picLocks/>
                  </pic:cNvPicPr>
                </pic:nvPicPr>
                <pic:blipFill>
                  <a:blip r:embed="rId1"/>
                  <a:srcRect/>
                  <a:stretch/>
                </pic:blipFill>
                <pic:spPr>
                  <a:xfrm>
                    <a:off x="0" y="0"/>
                    <a:ext cx="1457325" cy="561975"/>
                  </a:xfrm>
                  <a:prstGeom prst="rect">
                    <a:avLst/>
                  </a:prstGeom>
                </pic:spPr>
              </pic:pic>
            </a:graphicData>
          </a:graphic>
        </wp:anchor>
      </w:drawing>
    </w:r>
    <w:r>
      <w:tab/>
    </w:r>
    <w:r>
      <w:rPr>
        <w:noProof/>
      </w:rPr>
      <w:drawing>
        <wp:anchor distT="0" distB="0" distL="114300" distR="114300" simplePos="0" relativeHeight="251657216" behindDoc="0" locked="0" layoutInCell="1" allowOverlap="1" wp14:anchorId="1034B941" wp14:editId="51B3BE4A">
          <wp:simplePos x="0" y="0"/>
          <wp:positionH relativeFrom="column">
            <wp:posOffset>25431</wp:posOffset>
          </wp:positionH>
          <wp:positionV relativeFrom="paragraph">
            <wp:posOffset>850868</wp:posOffset>
          </wp:positionV>
          <wp:extent cx="6353175" cy="66675"/>
          <wp:effectExtent l="0" t="0" r="0" b="0"/>
          <wp:wrapNone/>
          <wp:docPr id="1178035463" name="A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i"/>
                  <pic:cNvPicPr>
                    <a:picLocks/>
                  </pic:cNvPicPr>
                </pic:nvPicPr>
                <pic:blipFill>
                  <a:blip r:embed="rId2"/>
                  <a:srcRect/>
                  <a:stretch/>
                </pic:blipFill>
                <pic:spPr>
                  <a:xfrm>
                    <a:off x="0" y="0"/>
                    <a:ext cx="6353175" cy="666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C0B33"/>
    <w:multiLevelType w:val="multilevel"/>
    <w:tmpl w:val="B36EFE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4A93A9F"/>
    <w:multiLevelType w:val="multilevel"/>
    <w:tmpl w:val="611022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59E64B5"/>
    <w:multiLevelType w:val="multilevel"/>
    <w:tmpl w:val="A46658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6092D3C"/>
    <w:multiLevelType w:val="multilevel"/>
    <w:tmpl w:val="1A347E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A0476D9"/>
    <w:multiLevelType w:val="multilevel"/>
    <w:tmpl w:val="651AF8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45E1452"/>
    <w:multiLevelType w:val="multilevel"/>
    <w:tmpl w:val="89A058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4E71FBA"/>
    <w:multiLevelType w:val="multilevel"/>
    <w:tmpl w:val="94C862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5800138"/>
    <w:multiLevelType w:val="multilevel"/>
    <w:tmpl w:val="F390A42A"/>
    <w:lvl w:ilvl="0">
      <w:start w:val="1"/>
      <w:numFmt w:val="bullet"/>
      <w:pStyle w:val="Bullet3"/>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69F7DDC"/>
    <w:multiLevelType w:val="multilevel"/>
    <w:tmpl w:val="864E06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68F6452"/>
    <w:multiLevelType w:val="multilevel"/>
    <w:tmpl w:val="C96CB6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666A346D"/>
    <w:multiLevelType w:val="multilevel"/>
    <w:tmpl w:val="FA2C0D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9D41770"/>
    <w:multiLevelType w:val="multilevel"/>
    <w:tmpl w:val="B1AE17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7CA521E0"/>
    <w:multiLevelType w:val="multilevel"/>
    <w:tmpl w:val="7D604E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07446048">
    <w:abstractNumId w:val="7"/>
  </w:num>
  <w:num w:numId="2" w16cid:durableId="924805608">
    <w:abstractNumId w:val="5"/>
  </w:num>
  <w:num w:numId="3" w16cid:durableId="1723289740">
    <w:abstractNumId w:val="3"/>
  </w:num>
  <w:num w:numId="4" w16cid:durableId="257838641">
    <w:abstractNumId w:val="12"/>
  </w:num>
  <w:num w:numId="5" w16cid:durableId="1526405435">
    <w:abstractNumId w:val="10"/>
  </w:num>
  <w:num w:numId="6" w16cid:durableId="1330064617">
    <w:abstractNumId w:val="9"/>
  </w:num>
  <w:num w:numId="7" w16cid:durableId="346643190">
    <w:abstractNumId w:val="2"/>
  </w:num>
  <w:num w:numId="8" w16cid:durableId="1306158879">
    <w:abstractNumId w:val="8"/>
  </w:num>
  <w:num w:numId="9" w16cid:durableId="343023336">
    <w:abstractNumId w:val="1"/>
  </w:num>
  <w:num w:numId="10" w16cid:durableId="1879198384">
    <w:abstractNumId w:val="4"/>
  </w:num>
  <w:num w:numId="11" w16cid:durableId="2131314796">
    <w:abstractNumId w:val="6"/>
  </w:num>
  <w:num w:numId="12" w16cid:durableId="948699351">
    <w:abstractNumId w:val="11"/>
  </w:num>
  <w:num w:numId="13" w16cid:durableId="17331156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5A72"/>
    <w:rsid w:val="00382855"/>
    <w:rsid w:val="003A073D"/>
    <w:rsid w:val="00CA2EF0"/>
    <w:rsid w:val="00EF5A7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B93E9D"/>
  <w15:docId w15:val="{1D3C4FA4-5FBD-4C08-A8BD-14E43DDE9A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AU"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top w:val="nil"/>
        <w:left w:val="nil"/>
        <w:bottom w:val="nil"/>
        <w:right w:val="nil"/>
        <w:between w:val="nil"/>
      </w:pBdr>
      <w:spacing w:before="240" w:after="60"/>
      <w:outlineLvl w:val="0"/>
    </w:pPr>
    <w:rPr>
      <w:rFonts w:ascii="Cambria" w:eastAsia="Cambria" w:hAnsi="Cambria" w:cs="Cambria"/>
      <w:b/>
      <w:color w:val="000000"/>
      <w:sz w:val="32"/>
      <w:szCs w:val="32"/>
    </w:rPr>
  </w:style>
  <w:style w:type="paragraph" w:styleId="Heading2">
    <w:name w:val="heading 2"/>
    <w:basedOn w:val="Normal"/>
    <w:next w:val="Normal"/>
    <w:uiPriority w:val="9"/>
    <w:unhideWhenUsed/>
    <w:qFormat/>
    <w:pPr>
      <w:keepNext/>
      <w:pBdr>
        <w:top w:val="nil"/>
        <w:left w:val="nil"/>
        <w:bottom w:val="nil"/>
        <w:right w:val="nil"/>
        <w:between w:val="nil"/>
      </w:pBdr>
      <w:spacing w:before="240" w:after="60"/>
      <w:outlineLvl w:val="1"/>
    </w:pPr>
    <w:rPr>
      <w:rFonts w:ascii="Cambria" w:eastAsia="Cambria" w:hAnsi="Cambria" w:cs="Cambria"/>
      <w:b/>
      <w:i/>
      <w:color w:val="000000"/>
      <w:sz w:val="28"/>
      <w:szCs w:val="28"/>
    </w:rPr>
  </w:style>
  <w:style w:type="paragraph" w:styleId="Heading3">
    <w:name w:val="heading 3"/>
    <w:basedOn w:val="Normal"/>
    <w:next w:val="Normal"/>
    <w:uiPriority w:val="9"/>
    <w:unhideWhenUsed/>
    <w:qFormat/>
    <w:pPr>
      <w:keepNext/>
      <w:keepLines/>
      <w:pBdr>
        <w:top w:val="nil"/>
        <w:left w:val="nil"/>
        <w:bottom w:val="nil"/>
        <w:right w:val="nil"/>
        <w:between w:val="nil"/>
      </w:pBdr>
      <w:spacing w:before="280" w:after="80"/>
      <w:outlineLvl w:val="2"/>
    </w:pPr>
    <w:rPr>
      <w:b/>
      <w:color w:val="000000"/>
      <w:sz w:val="28"/>
      <w:szCs w:val="28"/>
    </w:rPr>
  </w:style>
  <w:style w:type="paragraph" w:styleId="Heading4">
    <w:name w:val="heading 4"/>
    <w:basedOn w:val="Normal"/>
    <w:next w:val="Normal"/>
    <w:uiPriority w:val="9"/>
    <w:semiHidden/>
    <w:unhideWhenUsed/>
    <w:qFormat/>
    <w:pPr>
      <w:keepNext/>
      <w:keepLines/>
      <w:pBdr>
        <w:top w:val="nil"/>
        <w:left w:val="nil"/>
        <w:bottom w:val="nil"/>
        <w:right w:val="nil"/>
        <w:between w:val="nil"/>
      </w:pBdr>
      <w:spacing w:before="240" w:after="40"/>
      <w:outlineLvl w:val="3"/>
    </w:pPr>
    <w:rPr>
      <w:b/>
      <w:color w:val="000000"/>
    </w:rPr>
  </w:style>
  <w:style w:type="paragraph" w:styleId="Heading5">
    <w:name w:val="heading 5"/>
    <w:basedOn w:val="Normal"/>
    <w:next w:val="Normal"/>
    <w:uiPriority w:val="9"/>
    <w:semiHidden/>
    <w:unhideWhenUsed/>
    <w:qFormat/>
    <w:pPr>
      <w:keepNext/>
      <w:keepLines/>
      <w:pBdr>
        <w:top w:val="nil"/>
        <w:left w:val="nil"/>
        <w:bottom w:val="nil"/>
        <w:right w:val="nil"/>
        <w:between w:val="nil"/>
      </w:pBdr>
      <w:spacing w:before="220" w:after="40"/>
      <w:outlineLvl w:val="4"/>
    </w:pPr>
    <w:rPr>
      <w:b/>
      <w:color w:val="000000"/>
    </w:rPr>
  </w:style>
  <w:style w:type="paragraph" w:styleId="Heading6">
    <w:name w:val="heading 6"/>
    <w:basedOn w:val="Normal"/>
    <w:next w:val="Normal"/>
    <w:uiPriority w:val="9"/>
    <w:semiHidden/>
    <w:unhideWhenUsed/>
    <w:qFormat/>
    <w:pPr>
      <w:keepNext/>
      <w:keepLines/>
      <w:pBdr>
        <w:top w:val="nil"/>
        <w:left w:val="nil"/>
        <w:bottom w:val="nil"/>
        <w:right w:val="nil"/>
        <w:between w:val="nil"/>
      </w:pBdr>
      <w:spacing w:before="200" w:after="40"/>
      <w:outlineLvl w:val="5"/>
    </w:pPr>
    <w:rPr>
      <w:b/>
      <w:color w:val="000000"/>
      <w:sz w:val="20"/>
      <w:szCs w:val="20"/>
    </w:rPr>
  </w:style>
  <w:style w:type="paragraph" w:styleId="Heading7">
    <w:name w:val="heading 7"/>
    <w:basedOn w:val="Normal"/>
    <w:next w:val="Normal"/>
    <w:link w:val="Heading7Char"/>
    <w:unhideWhenUsed/>
    <w:qFormat/>
    <w:rsid w:val="00151C08"/>
    <w:pPr>
      <w:widowControl/>
      <w:tabs>
        <w:tab w:val="num" w:pos="1296"/>
      </w:tabs>
      <w:spacing w:before="240" w:after="60" w:line="240" w:lineRule="auto"/>
      <w:ind w:left="1296" w:hanging="1296"/>
      <w:outlineLvl w:val="6"/>
    </w:pPr>
    <w:rPr>
      <w:rFonts w:ascii="Arial" w:eastAsia="Times New Roman" w:hAnsi="Arial" w:cs="Times New Roman"/>
      <w:szCs w:val="20"/>
    </w:rPr>
  </w:style>
  <w:style w:type="paragraph" w:styleId="Heading8">
    <w:name w:val="heading 8"/>
    <w:basedOn w:val="Normal"/>
    <w:next w:val="Normal"/>
    <w:link w:val="Heading8Char"/>
    <w:semiHidden/>
    <w:unhideWhenUsed/>
    <w:qFormat/>
    <w:rsid w:val="00151C08"/>
    <w:pPr>
      <w:widowControl/>
      <w:tabs>
        <w:tab w:val="num" w:pos="1440"/>
      </w:tabs>
      <w:spacing w:before="240" w:after="60" w:line="240" w:lineRule="auto"/>
      <w:ind w:left="1440" w:hanging="1440"/>
      <w:outlineLvl w:val="7"/>
    </w:pPr>
    <w:rPr>
      <w:rFonts w:ascii="Arial" w:eastAsia="Times New Roman" w:hAnsi="Arial" w:cs="Times New Roman"/>
      <w:i/>
      <w:szCs w:val="20"/>
    </w:rPr>
  </w:style>
  <w:style w:type="paragraph" w:styleId="Heading9">
    <w:name w:val="heading 9"/>
    <w:basedOn w:val="Normal"/>
    <w:next w:val="Normal"/>
    <w:link w:val="Heading9Char"/>
    <w:semiHidden/>
    <w:unhideWhenUsed/>
    <w:qFormat/>
    <w:rsid w:val="00151C08"/>
    <w:pPr>
      <w:widowControl/>
      <w:tabs>
        <w:tab w:val="num" w:pos="1584"/>
      </w:tabs>
      <w:spacing w:before="240" w:after="60" w:line="240" w:lineRule="auto"/>
      <w:ind w:left="1584" w:hanging="1584"/>
      <w:outlineLvl w:val="8"/>
    </w:pPr>
    <w:rPr>
      <w:rFonts w:ascii="Arial" w:eastAsia="Times New Roman" w:hAnsi="Arial" w:cs="Times New Roman"/>
      <w:b/>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top w:val="nil"/>
        <w:left w:val="nil"/>
        <w:bottom w:val="nil"/>
        <w:right w:val="nil"/>
        <w:between w:val="nil"/>
      </w:pBdr>
      <w:spacing w:before="240" w:after="60"/>
      <w:jc w:val="center"/>
    </w:pPr>
    <w:rPr>
      <w:rFonts w:ascii="Cambria" w:eastAsia="Cambria" w:hAnsi="Cambria" w:cs="Cambria"/>
      <w:b/>
      <w:color w:val="000000"/>
      <w:sz w:val="32"/>
      <w:szCs w:val="32"/>
    </w:rPr>
  </w:style>
  <w:style w:type="paragraph" w:customStyle="1" w:styleId="Normal1">
    <w:name w:val="Normal1"/>
    <w:rsid w:val="0058608B"/>
  </w:style>
  <w:style w:type="table" w:customStyle="1" w:styleId="a">
    <w:basedOn w:val="TableNormal"/>
    <w:rsid w:val="0058608B"/>
    <w:tblPr>
      <w:tblStyleRowBandSize w:val="1"/>
      <w:tblStyleColBandSize w:val="1"/>
    </w:tblPr>
  </w:style>
  <w:style w:type="paragraph" w:styleId="CommentText">
    <w:name w:val="annotation text"/>
    <w:basedOn w:val="Normal"/>
    <w:link w:val="CommentTextChar"/>
    <w:uiPriority w:val="99"/>
    <w:semiHidden/>
    <w:unhideWhenUsed/>
    <w:rsid w:val="0058608B"/>
    <w:pPr>
      <w:spacing w:line="240" w:lineRule="auto"/>
    </w:pPr>
    <w:rPr>
      <w:sz w:val="20"/>
      <w:szCs w:val="20"/>
    </w:rPr>
  </w:style>
  <w:style w:type="character" w:customStyle="1" w:styleId="CommentTextChar">
    <w:name w:val="Comment Text Char"/>
    <w:basedOn w:val="DefaultParagraphFont"/>
    <w:link w:val="CommentText"/>
    <w:uiPriority w:val="99"/>
    <w:semiHidden/>
    <w:rsid w:val="0058608B"/>
    <w:rPr>
      <w:sz w:val="20"/>
      <w:szCs w:val="20"/>
    </w:rPr>
  </w:style>
  <w:style w:type="character" w:styleId="CommentReference">
    <w:name w:val="annotation reference"/>
    <w:basedOn w:val="DefaultParagraphFont"/>
    <w:uiPriority w:val="99"/>
    <w:semiHidden/>
    <w:unhideWhenUsed/>
    <w:rsid w:val="0058608B"/>
    <w:rPr>
      <w:sz w:val="16"/>
      <w:szCs w:val="16"/>
    </w:rPr>
  </w:style>
  <w:style w:type="paragraph" w:styleId="BalloonText">
    <w:name w:val="Balloon Text"/>
    <w:basedOn w:val="Normal"/>
    <w:link w:val="BalloonTextChar"/>
    <w:uiPriority w:val="99"/>
    <w:semiHidden/>
    <w:unhideWhenUsed/>
    <w:rsid w:val="00440FD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40FD2"/>
    <w:rPr>
      <w:rFonts w:ascii="Tahoma" w:hAnsi="Tahoma" w:cs="Tahoma"/>
      <w:sz w:val="16"/>
      <w:szCs w:val="16"/>
    </w:rPr>
  </w:style>
  <w:style w:type="paragraph" w:styleId="Header">
    <w:name w:val="header"/>
    <w:basedOn w:val="Normal"/>
    <w:link w:val="HeaderChar"/>
    <w:uiPriority w:val="99"/>
    <w:unhideWhenUsed/>
    <w:rsid w:val="00440FD2"/>
    <w:pPr>
      <w:tabs>
        <w:tab w:val="center" w:pos="4680"/>
        <w:tab w:val="right" w:pos="9360"/>
      </w:tabs>
      <w:spacing w:after="0" w:line="240" w:lineRule="auto"/>
    </w:pPr>
  </w:style>
  <w:style w:type="character" w:customStyle="1" w:styleId="HeaderChar">
    <w:name w:val="Header Char"/>
    <w:basedOn w:val="DefaultParagraphFont"/>
    <w:link w:val="Header"/>
    <w:uiPriority w:val="99"/>
    <w:rsid w:val="00440FD2"/>
  </w:style>
  <w:style w:type="paragraph" w:styleId="Footer">
    <w:name w:val="footer"/>
    <w:basedOn w:val="Normal"/>
    <w:link w:val="FooterChar"/>
    <w:uiPriority w:val="99"/>
    <w:unhideWhenUsed/>
    <w:rsid w:val="00440FD2"/>
    <w:pPr>
      <w:tabs>
        <w:tab w:val="center" w:pos="4680"/>
        <w:tab w:val="right" w:pos="9360"/>
      </w:tabs>
      <w:spacing w:after="0" w:line="240" w:lineRule="auto"/>
    </w:pPr>
  </w:style>
  <w:style w:type="character" w:customStyle="1" w:styleId="FooterChar">
    <w:name w:val="Footer Char"/>
    <w:basedOn w:val="DefaultParagraphFont"/>
    <w:link w:val="Footer"/>
    <w:uiPriority w:val="99"/>
    <w:rsid w:val="00440FD2"/>
  </w:style>
  <w:style w:type="paragraph" w:styleId="CommentSubject">
    <w:name w:val="annotation subject"/>
    <w:basedOn w:val="CommentText"/>
    <w:next w:val="CommentText"/>
    <w:link w:val="CommentSubjectChar"/>
    <w:uiPriority w:val="99"/>
    <w:semiHidden/>
    <w:unhideWhenUsed/>
    <w:rsid w:val="00440FD2"/>
    <w:rPr>
      <w:b/>
      <w:bCs/>
    </w:rPr>
  </w:style>
  <w:style w:type="character" w:customStyle="1" w:styleId="CommentSubjectChar">
    <w:name w:val="Comment Subject Char"/>
    <w:basedOn w:val="CommentTextChar"/>
    <w:link w:val="CommentSubject"/>
    <w:uiPriority w:val="99"/>
    <w:semiHidden/>
    <w:rsid w:val="00440FD2"/>
    <w:rPr>
      <w:b/>
      <w:bCs/>
      <w:sz w:val="20"/>
      <w:szCs w:val="20"/>
    </w:rPr>
  </w:style>
  <w:style w:type="paragraph" w:styleId="TOC1">
    <w:name w:val="toc 1"/>
    <w:basedOn w:val="Normal"/>
    <w:next w:val="Normal"/>
    <w:autoRedefine/>
    <w:uiPriority w:val="39"/>
    <w:unhideWhenUsed/>
    <w:rsid w:val="00BE106C"/>
    <w:pPr>
      <w:tabs>
        <w:tab w:val="right" w:pos="9016"/>
      </w:tabs>
      <w:spacing w:after="100" w:line="240" w:lineRule="auto"/>
    </w:pPr>
  </w:style>
  <w:style w:type="paragraph" w:styleId="TOC2">
    <w:name w:val="toc 2"/>
    <w:basedOn w:val="Normal"/>
    <w:next w:val="Normal"/>
    <w:autoRedefine/>
    <w:uiPriority w:val="39"/>
    <w:unhideWhenUsed/>
    <w:rsid w:val="00440FD2"/>
    <w:pPr>
      <w:spacing w:after="100"/>
      <w:ind w:left="220"/>
    </w:pPr>
  </w:style>
  <w:style w:type="character" w:styleId="Hyperlink">
    <w:name w:val="Hyperlink"/>
    <w:basedOn w:val="DefaultParagraphFont"/>
    <w:uiPriority w:val="99"/>
    <w:unhideWhenUsed/>
    <w:rsid w:val="00440FD2"/>
    <w:rPr>
      <w:color w:val="0000FF" w:themeColor="hyperlink"/>
      <w:u w:val="single"/>
    </w:rPr>
  </w:style>
  <w:style w:type="paragraph" w:styleId="ListParagraph">
    <w:name w:val="List Paragraph"/>
    <w:basedOn w:val="Normal"/>
    <w:uiPriority w:val="34"/>
    <w:qFormat/>
    <w:rsid w:val="008625FB"/>
    <w:pPr>
      <w:ind w:left="720"/>
      <w:contextualSpacing/>
    </w:pPr>
  </w:style>
  <w:style w:type="character" w:customStyle="1" w:styleId="Heading7Char">
    <w:name w:val="Heading 7 Char"/>
    <w:basedOn w:val="DefaultParagraphFont"/>
    <w:link w:val="Heading7"/>
    <w:rsid w:val="00151C08"/>
    <w:rPr>
      <w:rFonts w:ascii="Arial" w:eastAsia="Times New Roman" w:hAnsi="Arial" w:cs="Times New Roman"/>
      <w:color w:val="auto"/>
      <w:sz w:val="24"/>
      <w:szCs w:val="20"/>
    </w:rPr>
  </w:style>
  <w:style w:type="character" w:customStyle="1" w:styleId="Heading8Char">
    <w:name w:val="Heading 8 Char"/>
    <w:basedOn w:val="DefaultParagraphFont"/>
    <w:link w:val="Heading8"/>
    <w:semiHidden/>
    <w:rsid w:val="00151C08"/>
    <w:rPr>
      <w:rFonts w:ascii="Arial" w:eastAsia="Times New Roman" w:hAnsi="Arial" w:cs="Times New Roman"/>
      <w:i/>
      <w:color w:val="auto"/>
      <w:sz w:val="24"/>
      <w:szCs w:val="20"/>
    </w:rPr>
  </w:style>
  <w:style w:type="character" w:customStyle="1" w:styleId="Heading9Char">
    <w:name w:val="Heading 9 Char"/>
    <w:basedOn w:val="DefaultParagraphFont"/>
    <w:link w:val="Heading9"/>
    <w:semiHidden/>
    <w:rsid w:val="00151C08"/>
    <w:rPr>
      <w:rFonts w:ascii="Arial" w:eastAsia="Times New Roman" w:hAnsi="Arial" w:cs="Times New Roman"/>
      <w:b/>
      <w:i/>
      <w:color w:val="auto"/>
      <w:sz w:val="18"/>
      <w:szCs w:val="20"/>
    </w:rPr>
  </w:style>
  <w:style w:type="character" w:customStyle="1" w:styleId="TitleChar">
    <w:name w:val="Title Char"/>
    <w:basedOn w:val="DefaultParagraphFont"/>
    <w:link w:val="Title"/>
    <w:rsid w:val="00151C08"/>
    <w:rPr>
      <w:rFonts w:ascii="Cambria" w:eastAsia="Cambria" w:hAnsi="Cambria" w:cs="Cambria"/>
      <w:b/>
      <w:sz w:val="32"/>
      <w:szCs w:val="32"/>
    </w:rPr>
  </w:style>
  <w:style w:type="character" w:customStyle="1" w:styleId="BodyTextChar">
    <w:name w:val="Body Text Char"/>
    <w:aliases w:val="bt Char"/>
    <w:basedOn w:val="DefaultParagraphFont"/>
    <w:link w:val="BodyText"/>
    <w:locked/>
    <w:rsid w:val="00151C08"/>
    <w:rPr>
      <w:noProof/>
      <w:sz w:val="24"/>
    </w:rPr>
  </w:style>
  <w:style w:type="paragraph" w:styleId="BodyText">
    <w:name w:val="Body Text"/>
    <w:aliases w:val="bt"/>
    <w:basedOn w:val="Normal"/>
    <w:link w:val="BodyTextChar"/>
    <w:unhideWhenUsed/>
    <w:rsid w:val="00151C08"/>
    <w:pPr>
      <w:widowControl/>
      <w:spacing w:before="120" w:after="0" w:line="240" w:lineRule="auto"/>
      <w:jc w:val="both"/>
    </w:pPr>
    <w:rPr>
      <w:noProof/>
    </w:rPr>
  </w:style>
  <w:style w:type="character" w:customStyle="1" w:styleId="BodyTextChar1">
    <w:name w:val="Body Text Char1"/>
    <w:basedOn w:val="DefaultParagraphFont"/>
    <w:uiPriority w:val="99"/>
    <w:semiHidden/>
    <w:rsid w:val="00151C08"/>
    <w:rPr>
      <w:sz w:val="24"/>
    </w:rPr>
  </w:style>
  <w:style w:type="paragraph" w:customStyle="1" w:styleId="Bullet3">
    <w:name w:val="Bullet3"/>
    <w:basedOn w:val="Normal"/>
    <w:rsid w:val="00151C08"/>
    <w:pPr>
      <w:widowControl/>
      <w:numPr>
        <w:numId w:val="1"/>
      </w:numPr>
      <w:tabs>
        <w:tab w:val="left" w:pos="1170"/>
      </w:tabs>
      <w:spacing w:before="120" w:after="0" w:line="240" w:lineRule="auto"/>
      <w:ind w:left="1170" w:hanging="450"/>
    </w:pPr>
    <w:rPr>
      <w:rFonts w:ascii="Times New Roman" w:eastAsia="Times New Roman" w:hAnsi="Times New Roman" w:cs="Times New Roman"/>
      <w:szCs w:val="20"/>
    </w:rPr>
  </w:style>
  <w:style w:type="paragraph" w:customStyle="1" w:styleId="TableText">
    <w:name w:val="Table Text"/>
    <w:basedOn w:val="Normal"/>
    <w:rsid w:val="00151C08"/>
    <w:pPr>
      <w:widowControl/>
      <w:spacing w:before="40" w:after="40" w:line="240" w:lineRule="auto"/>
    </w:pPr>
    <w:rPr>
      <w:rFonts w:ascii="Times New Roman" w:eastAsia="Times New Roman" w:hAnsi="Times New Roman" w:cs="Times New Roman"/>
      <w:sz w:val="22"/>
      <w:szCs w:val="20"/>
    </w:rPr>
  </w:style>
  <w:style w:type="paragraph" w:customStyle="1" w:styleId="Bullet2over">
    <w:name w:val="Bullet2 over"/>
    <w:basedOn w:val="Normal"/>
    <w:rsid w:val="00151C08"/>
    <w:pPr>
      <w:widowControl/>
      <w:tabs>
        <w:tab w:val="left" w:pos="36"/>
        <w:tab w:val="num" w:pos="720"/>
      </w:tabs>
      <w:spacing w:before="120" w:after="0" w:line="240" w:lineRule="auto"/>
      <w:ind w:left="720" w:hanging="720"/>
    </w:pPr>
    <w:rPr>
      <w:rFonts w:ascii="Times New Roman" w:eastAsia="Times New Roman" w:hAnsi="Times New Roman" w:cs="Times New Roman"/>
      <w:szCs w:val="20"/>
    </w:rPr>
  </w:style>
  <w:style w:type="paragraph" w:styleId="TOC3">
    <w:name w:val="toc 3"/>
    <w:basedOn w:val="Normal"/>
    <w:next w:val="Normal"/>
    <w:autoRedefine/>
    <w:uiPriority w:val="39"/>
    <w:unhideWhenUsed/>
    <w:rsid w:val="00151C08"/>
    <w:pPr>
      <w:spacing w:after="100"/>
      <w:ind w:left="480"/>
    </w:pPr>
  </w:style>
  <w:style w:type="paragraph" w:styleId="TOC7">
    <w:name w:val="toc 7"/>
    <w:basedOn w:val="Normal"/>
    <w:next w:val="Normal"/>
    <w:autoRedefine/>
    <w:uiPriority w:val="39"/>
    <w:unhideWhenUsed/>
    <w:rsid w:val="00944959"/>
    <w:pPr>
      <w:spacing w:after="100"/>
      <w:ind w:left="1440"/>
    </w:pPr>
  </w:style>
  <w:style w:type="table" w:styleId="TableGrid">
    <w:name w:val="Table Grid"/>
    <w:basedOn w:val="TableNormal"/>
    <w:uiPriority w:val="59"/>
    <w:rsid w:val="00CF3892"/>
    <w:pPr>
      <w:widowControl/>
      <w:spacing w:after="0" w:line="240" w:lineRule="auto"/>
    </w:pPr>
    <w:rPr>
      <w:rFonts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left w:w="0" w:type="dxa"/>
        <w:right w:w="0" w:type="dxa"/>
      </w:tblCellMar>
    </w:tblPr>
  </w:style>
  <w:style w:type="table" w:customStyle="1" w:styleId="a3">
    <w:basedOn w:val="TableNormal"/>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pPr>
    <w:rPr>
      <w:color w:val="000000"/>
      <w:sz w:val="20"/>
      <w:szCs w:val="20"/>
    </w:rPr>
    <w:tblPr>
      <w:tblStyleRowBandSize w:val="1"/>
      <w:tblStyleColBandSize w:val="1"/>
      <w:tblCellMar>
        <w:top w:w="100" w:type="dxa"/>
        <w:left w:w="100" w:type="dxa"/>
        <w:bottom w:w="100" w:type="dxa"/>
        <w:right w:w="100" w:type="dxa"/>
      </w:tblCellMar>
    </w:tblPr>
  </w:style>
  <w:style w:type="table" w:customStyle="1" w:styleId="a4">
    <w:basedOn w:val="TableNormal"/>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pPr>
    <w:rPr>
      <w:color w:val="000000"/>
      <w:sz w:val="20"/>
      <w:szCs w:val="20"/>
    </w:rPr>
    <w:tblPr>
      <w:tblStyleRowBandSize w:val="1"/>
      <w:tblStyleColBandSize w:val="1"/>
      <w:tblCellMar>
        <w:top w:w="100" w:type="dxa"/>
        <w:left w:w="100" w:type="dxa"/>
        <w:bottom w:w="100" w:type="dxa"/>
        <w:right w:w="100" w:type="dxa"/>
      </w:tblCellMar>
    </w:tblPr>
  </w:style>
  <w:style w:type="table" w:customStyle="1" w:styleId="a5">
    <w:basedOn w:val="TableNormal"/>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pPr>
    <w:rPr>
      <w:color w:val="000000"/>
      <w:sz w:val="20"/>
      <w:szCs w:val="20"/>
    </w:rPr>
    <w:tblPr>
      <w:tblStyleRowBandSize w:val="1"/>
      <w:tblStyleColBandSize w:val="1"/>
      <w:tblCellMar>
        <w:top w:w="100" w:type="dxa"/>
        <w:left w:w="100" w:type="dxa"/>
        <w:bottom w:w="100" w:type="dxa"/>
        <w:right w:w="100" w:type="dxa"/>
      </w:tblCellMar>
    </w:tblPr>
  </w:style>
  <w:style w:type="table" w:customStyle="1" w:styleId="a6">
    <w:basedOn w:val="TableNormal"/>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pPr>
    <w:rPr>
      <w:color w:val="000000"/>
      <w:sz w:val="20"/>
      <w:szCs w:val="20"/>
    </w:rPr>
    <w:tblPr>
      <w:tblStyleRowBandSize w:val="1"/>
      <w:tblStyleColBandSize w:val="1"/>
      <w:tblCellMar>
        <w:top w:w="100" w:type="dxa"/>
        <w:left w:w="100" w:type="dxa"/>
        <w:bottom w:w="100" w:type="dxa"/>
        <w:right w:w="100" w:type="dxa"/>
      </w:tblCellMar>
    </w:tblPr>
  </w:style>
  <w:style w:type="table" w:customStyle="1" w:styleId="a7">
    <w:basedOn w:val="TableNormal"/>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pPr>
    <w:rPr>
      <w:color w:val="000000"/>
      <w:sz w:val="20"/>
      <w:szCs w:val="20"/>
    </w:rPr>
    <w:tblPr>
      <w:tblStyleRowBandSize w:val="1"/>
      <w:tblStyleColBandSize w:val="1"/>
      <w:tblCellMar>
        <w:top w:w="100" w:type="dxa"/>
        <w:left w:w="100" w:type="dxa"/>
        <w:bottom w:w="100" w:type="dxa"/>
        <w:right w:w="100" w:type="dxa"/>
      </w:tblCellMar>
    </w:tblPr>
  </w:style>
  <w:style w:type="table" w:customStyle="1" w:styleId="a8">
    <w:basedOn w:val="TableNormal"/>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pPr>
    <w:rPr>
      <w:color w:val="000000"/>
      <w:sz w:val="20"/>
      <w:szCs w:val="20"/>
    </w:rPr>
    <w:tblPr>
      <w:tblStyleRowBandSize w:val="1"/>
      <w:tblStyleColBandSize w:val="1"/>
      <w:tblCellMar>
        <w:top w:w="100" w:type="dxa"/>
        <w:left w:w="100" w:type="dxa"/>
        <w:bottom w:w="100" w:type="dxa"/>
        <w:right w:w="100" w:type="dxa"/>
      </w:tblCellMar>
    </w:tblPr>
  </w:style>
  <w:style w:type="table" w:customStyle="1" w:styleId="a9">
    <w:basedOn w:val="TableNormal"/>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pPr>
    <w:rPr>
      <w:color w:val="000000"/>
      <w:sz w:val="20"/>
      <w:szCs w:val="20"/>
    </w:rPr>
    <w:tblPr>
      <w:tblStyleRowBandSize w:val="1"/>
      <w:tblStyleColBandSize w:val="1"/>
      <w:tblCellMar>
        <w:top w:w="100" w:type="dxa"/>
        <w:left w:w="100" w:type="dxa"/>
        <w:bottom w:w="100" w:type="dxa"/>
        <w:right w:w="100" w:type="dxa"/>
      </w:tblCellMar>
    </w:tblPr>
  </w:style>
  <w:style w:type="table" w:customStyle="1" w:styleId="aa">
    <w:basedOn w:val="TableNormal"/>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pPr>
    <w:rPr>
      <w:color w:val="000000"/>
      <w:sz w:val="20"/>
      <w:szCs w:val="20"/>
    </w:rPr>
    <w:tblPr>
      <w:tblStyleRowBandSize w:val="1"/>
      <w:tblStyleColBandSize w:val="1"/>
      <w:tblCellMar>
        <w:top w:w="100" w:type="dxa"/>
        <w:left w:w="100" w:type="dxa"/>
        <w:bottom w:w="100" w:type="dxa"/>
        <w:right w:w="100" w:type="dxa"/>
      </w:tblCellMar>
    </w:tblPr>
  </w:style>
  <w:style w:type="table" w:customStyle="1" w:styleId="ab">
    <w:basedOn w:val="TableNormal"/>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pPr>
    <w:rPr>
      <w:color w:val="000000"/>
      <w:sz w:val="20"/>
      <w:szCs w:val="20"/>
    </w:rPr>
    <w:tblPr>
      <w:tblStyleRowBandSize w:val="1"/>
      <w:tblStyleColBandSize w:val="1"/>
      <w:tblCellMar>
        <w:top w:w="100" w:type="dxa"/>
        <w:left w:w="100" w:type="dxa"/>
        <w:bottom w:w="100" w:type="dxa"/>
        <w:right w:w="100" w:type="dxa"/>
      </w:tblCellMar>
    </w:tblPr>
  </w:style>
  <w:style w:type="table" w:customStyle="1" w:styleId="ac">
    <w:basedOn w:val="TableNormal"/>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pPr>
    <w:rPr>
      <w:color w:val="000000"/>
      <w:sz w:val="20"/>
      <w:szCs w:val="20"/>
    </w:rPr>
    <w:tblPr>
      <w:tblStyleRowBandSize w:val="1"/>
      <w:tblStyleColBandSize w:val="1"/>
      <w:tblCellMar>
        <w:top w:w="100" w:type="dxa"/>
        <w:left w:w="100" w:type="dxa"/>
        <w:bottom w:w="100" w:type="dxa"/>
        <w:right w:w="100" w:type="dxa"/>
      </w:tblCellMar>
    </w:tblPr>
  </w:style>
  <w:style w:type="table" w:customStyle="1" w:styleId="ad">
    <w:basedOn w:val="TableNormal"/>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pPr>
    <w:rPr>
      <w:color w:val="000000"/>
      <w:sz w:val="20"/>
      <w:szCs w:val="20"/>
    </w:rPr>
    <w:tblPr>
      <w:tblStyleRowBandSize w:val="1"/>
      <w:tblStyleColBandSize w:val="1"/>
      <w:tblCellMar>
        <w:top w:w="100" w:type="dxa"/>
        <w:left w:w="100" w:type="dxa"/>
        <w:bottom w:w="100" w:type="dxa"/>
        <w:right w:w="100" w:type="dxa"/>
      </w:tblCellMar>
    </w:tblPr>
  </w:style>
  <w:style w:type="table" w:customStyle="1" w:styleId="ae">
    <w:basedOn w:val="TableNormal"/>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pPr>
    <w:rPr>
      <w:color w:val="000000"/>
      <w:sz w:val="20"/>
      <w:szCs w:val="20"/>
    </w:rPr>
    <w:tblPr>
      <w:tblStyleRowBandSize w:val="1"/>
      <w:tblStyleColBandSize w:val="1"/>
      <w:tblCellMar>
        <w:top w:w="100" w:type="dxa"/>
        <w:left w:w="100" w:type="dxa"/>
        <w:bottom w:w="100" w:type="dxa"/>
        <w:right w:w="100" w:type="dxa"/>
      </w:tblCellMar>
    </w:tblPr>
  </w:style>
  <w:style w:type="table" w:customStyle="1" w:styleId="af">
    <w:basedOn w:val="TableNormal"/>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pPr>
    <w:rPr>
      <w:color w:val="000000"/>
      <w:sz w:val="20"/>
      <w:szCs w:val="20"/>
    </w:rPr>
    <w:tblPr>
      <w:tblStyleRowBandSize w:val="1"/>
      <w:tblStyleColBandSize w:val="1"/>
      <w:tblCellMar>
        <w:top w:w="100" w:type="dxa"/>
        <w:left w:w="100" w:type="dxa"/>
        <w:bottom w:w="100" w:type="dxa"/>
        <w:right w:w="100" w:type="dxa"/>
      </w:tblCellMar>
    </w:tblPr>
  </w:style>
  <w:style w:type="table" w:customStyle="1" w:styleId="af0">
    <w:basedOn w:val="TableNormal"/>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pPr>
    <w:rPr>
      <w:color w:val="000000"/>
      <w:sz w:val="20"/>
      <w:szCs w:val="20"/>
    </w:rPr>
    <w:tblPr>
      <w:tblStyleRowBandSize w:val="1"/>
      <w:tblStyleColBandSize w:val="1"/>
      <w:tblCellMar>
        <w:top w:w="100" w:type="dxa"/>
        <w:left w:w="100" w:type="dxa"/>
        <w:bottom w:w="100" w:type="dxa"/>
        <w:right w:w="100" w:type="dxa"/>
      </w:tblCellMar>
    </w:tblPr>
  </w:style>
  <w:style w:type="table" w:customStyle="1" w:styleId="af1">
    <w:basedOn w:val="TableNormal"/>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pPr>
    <w:rPr>
      <w:color w:val="000000"/>
      <w:sz w:val="20"/>
      <w:szCs w:val="20"/>
    </w:rPr>
    <w:tblPr>
      <w:tblStyleRowBandSize w:val="1"/>
      <w:tblStyleColBandSize w:val="1"/>
      <w:tblCellMar>
        <w:top w:w="100" w:type="dxa"/>
        <w:left w:w="100" w:type="dxa"/>
        <w:bottom w:w="100" w:type="dxa"/>
        <w:right w:w="100" w:type="dxa"/>
      </w:tblCellMar>
    </w:tblPr>
  </w:style>
  <w:style w:type="table" w:customStyle="1" w:styleId="af2">
    <w:basedOn w:val="TableNormal"/>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pPr>
    <w:rPr>
      <w:color w:val="000000"/>
      <w:sz w:val="20"/>
      <w:szCs w:val="20"/>
    </w:rPr>
    <w:tblPr>
      <w:tblStyleRowBandSize w:val="1"/>
      <w:tblStyleColBandSize w:val="1"/>
      <w:tblCellMar>
        <w:top w:w="100" w:type="dxa"/>
        <w:left w:w="100" w:type="dxa"/>
        <w:bottom w:w="100" w:type="dxa"/>
        <w:right w:w="100" w:type="dxa"/>
      </w:tblCellMar>
    </w:tblPr>
  </w:style>
  <w:style w:type="table" w:customStyle="1" w:styleId="af3">
    <w:basedOn w:val="TableNormal"/>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pPr>
    <w:rPr>
      <w:color w:val="000000"/>
      <w:sz w:val="20"/>
      <w:szCs w:val="20"/>
    </w:rPr>
    <w:tblPr>
      <w:tblStyleRowBandSize w:val="1"/>
      <w:tblStyleColBandSize w:val="1"/>
      <w:tblCellMar>
        <w:top w:w="100" w:type="dxa"/>
        <w:left w:w="100" w:type="dxa"/>
        <w:bottom w:w="100" w:type="dxa"/>
        <w:right w:w="100" w:type="dxa"/>
      </w:tblCellMar>
    </w:tblPr>
  </w:style>
  <w:style w:type="table" w:customStyle="1" w:styleId="af4">
    <w:basedOn w:val="TableNormal"/>
    <w:pPr>
      <w:ind w:left="1080"/>
    </w:pPr>
    <w:rPr>
      <w:sz w:val="22"/>
      <w:szCs w:val="22"/>
    </w:rPr>
    <w:tblPr>
      <w:tblStyleRowBandSize w:val="1"/>
      <w:tblStyleColBandSize w:val="1"/>
    </w:tblPr>
  </w:style>
  <w:style w:type="table" w:customStyle="1" w:styleId="af5">
    <w:basedOn w:val="TableNormal"/>
    <w:pPr>
      <w:ind w:left="1080"/>
    </w:pPr>
    <w:rPr>
      <w:sz w:val="22"/>
      <w:szCs w:val="22"/>
    </w:rPr>
    <w:tblPr>
      <w:tblStyleRowBandSize w:val="1"/>
      <w:tblStyleColBandSize w:val="1"/>
      <w:tblCellMar>
        <w:top w:w="113" w:type="dxa"/>
        <w:bottom w:w="57" w:type="dxa"/>
      </w:tblCellMar>
    </w:tblPr>
  </w:style>
  <w:style w:type="table" w:customStyle="1" w:styleId="af6">
    <w:basedOn w:val="TableNormal"/>
    <w:tblPr>
      <w:tblStyleRowBandSize w:val="1"/>
      <w:tblStyleColBandSize w:val="1"/>
      <w:tblCellMar>
        <w:top w:w="100" w:type="dxa"/>
        <w:left w:w="100" w:type="dxa"/>
        <w:bottom w:w="100" w:type="dxa"/>
        <w:right w:w="100" w:type="dxa"/>
      </w:tblCellMar>
    </w:tblPr>
  </w:style>
  <w:style w:type="table" w:customStyle="1" w:styleId="af7">
    <w:basedOn w:val="TableNormal"/>
    <w:tblPr>
      <w:tblStyleRowBandSize w:val="1"/>
      <w:tblStyleColBandSize w:val="1"/>
      <w:tblCellMar>
        <w:top w:w="100" w:type="dxa"/>
        <w:left w:w="100" w:type="dxa"/>
        <w:bottom w:w="100" w:type="dxa"/>
        <w:right w:w="100" w:type="dxa"/>
      </w:tblCellMar>
    </w:tblPr>
  </w:style>
  <w:style w:type="table" w:customStyle="1" w:styleId="af8">
    <w:basedOn w:val="TableNormal"/>
    <w:tblPr>
      <w:tblStyleRowBandSize w:val="1"/>
      <w:tblStyleColBandSize w:val="1"/>
      <w:tblCellMar>
        <w:top w:w="100" w:type="dxa"/>
        <w:left w:w="100" w:type="dxa"/>
        <w:bottom w:w="100" w:type="dxa"/>
        <w:right w:w="100" w:type="dxa"/>
      </w:tblCellMar>
    </w:tblPr>
  </w:style>
  <w:style w:type="table" w:customStyle="1" w:styleId="af9">
    <w:basedOn w:val="TableNormal"/>
    <w:tblPr>
      <w:tblStyleRowBandSize w:val="1"/>
      <w:tblStyleColBandSize w:val="1"/>
      <w:tblCellMar>
        <w:top w:w="100" w:type="dxa"/>
        <w:left w:w="100" w:type="dxa"/>
        <w:bottom w:w="100" w:type="dxa"/>
        <w:right w:w="100" w:type="dxa"/>
      </w:tblCellMar>
    </w:tblPr>
  </w:style>
  <w:style w:type="table" w:customStyle="1" w:styleId="afa">
    <w:basedOn w:val="TableNormal"/>
    <w:tblPr>
      <w:tblStyleRowBandSize w:val="1"/>
      <w:tblStyleColBandSize w:val="1"/>
      <w:tblCellMar>
        <w:top w:w="100" w:type="dxa"/>
        <w:left w:w="100" w:type="dxa"/>
        <w:bottom w:w="100" w:type="dxa"/>
        <w:right w:w="100" w:type="dxa"/>
      </w:tblCellMar>
    </w:tblPr>
  </w:style>
  <w:style w:type="table" w:customStyle="1" w:styleId="afb">
    <w:basedOn w:val="TableNormal"/>
    <w:tblPr>
      <w:tblStyleRowBandSize w:val="1"/>
      <w:tblStyleColBandSize w:val="1"/>
      <w:tblCellMar>
        <w:top w:w="100" w:type="dxa"/>
        <w:left w:w="100" w:type="dxa"/>
        <w:bottom w:w="100" w:type="dxa"/>
        <w:right w:w="100" w:type="dxa"/>
      </w:tblCellMar>
    </w:tblPr>
  </w:style>
  <w:style w:type="table" w:customStyle="1" w:styleId="afc">
    <w:basedOn w:val="TableNormal"/>
    <w:pPr>
      <w:ind w:left="1080"/>
    </w:pPr>
    <w:rPr>
      <w:sz w:val="22"/>
      <w:szCs w:val="22"/>
    </w:rPr>
    <w:tblPr>
      <w:tblStyleRowBandSize w:val="1"/>
      <w:tblStyleColBandSize w:val="1"/>
      <w:tblCellMar>
        <w:top w:w="113" w:type="dxa"/>
        <w:bottom w:w="57" w:type="dxa"/>
      </w:tblCellMar>
    </w:tblPr>
  </w:style>
  <w:style w:type="table" w:customStyle="1" w:styleId="afd">
    <w:basedOn w:val="TableNormal"/>
    <w:pPr>
      <w:ind w:left="1080"/>
    </w:pPr>
    <w:rPr>
      <w:sz w:val="22"/>
      <w:szCs w:val="22"/>
    </w:rPr>
    <w:tblPr>
      <w:tblStyleRowBandSize w:val="1"/>
      <w:tblStyleColBandSize w:val="1"/>
      <w:tblCellMar>
        <w:top w:w="113" w:type="dxa"/>
        <w:bottom w:w="57" w:type="dxa"/>
      </w:tblCellMar>
    </w:tblPr>
  </w:style>
  <w:style w:type="table" w:customStyle="1" w:styleId="afe">
    <w:basedOn w:val="TableNormal"/>
    <w:pPr>
      <w:ind w:left="1080"/>
    </w:pPr>
    <w:rPr>
      <w:sz w:val="22"/>
      <w:szCs w:val="22"/>
    </w:rPr>
    <w:tblPr>
      <w:tblStyleRowBandSize w:val="1"/>
      <w:tblStyleColBandSize w:val="1"/>
      <w:tblCellMar>
        <w:top w:w="113" w:type="dxa"/>
        <w:bottom w:w="57" w:type="dxa"/>
      </w:tblCellMar>
    </w:tblPr>
  </w:style>
  <w:style w:type="table" w:customStyle="1" w:styleId="aff">
    <w:basedOn w:val="TableNormal"/>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pPr>
    <w:rPr>
      <w:color w:val="000000"/>
      <w:sz w:val="20"/>
      <w:szCs w:val="20"/>
    </w:rPr>
    <w:tblPr>
      <w:tblStyleRowBandSize w:val="1"/>
      <w:tblStyleColBandSize w:val="1"/>
      <w:tblCellMar>
        <w:top w:w="100" w:type="dxa"/>
        <w:left w:w="100" w:type="dxa"/>
        <w:bottom w:w="100" w:type="dxa"/>
        <w:right w:w="100" w:type="dxa"/>
      </w:tblCellMar>
    </w:tblPr>
  </w:style>
  <w:style w:type="table" w:customStyle="1" w:styleId="aff0">
    <w:basedOn w:val="TableNormal"/>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pPr>
    <w:rPr>
      <w:color w:val="000000"/>
      <w:sz w:val="20"/>
      <w:szCs w:val="20"/>
    </w:rPr>
    <w:tblPr>
      <w:tblStyleRowBandSize w:val="1"/>
      <w:tblStyleColBandSize w:val="1"/>
      <w:tblCellMar>
        <w:top w:w="100" w:type="dxa"/>
        <w:left w:w="100" w:type="dxa"/>
        <w:bottom w:w="100" w:type="dxa"/>
        <w:right w:w="100" w:type="dxa"/>
      </w:tblCellMar>
    </w:tblPr>
  </w:style>
  <w:style w:type="table" w:customStyle="1" w:styleId="aff1">
    <w:basedOn w:val="TableNormal"/>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ind w:left="1080"/>
    </w:pPr>
    <w:rPr>
      <w:color w:val="000000"/>
      <w:sz w:val="20"/>
      <w:szCs w:val="20"/>
    </w:rPr>
    <w:tblPr>
      <w:tblStyleRowBandSize w:val="1"/>
      <w:tblStyleColBandSize w:val="1"/>
      <w:tblCellMar>
        <w:top w:w="100" w:type="dxa"/>
        <w:left w:w="100" w:type="dxa"/>
        <w:bottom w:w="100" w:type="dxa"/>
        <w:right w:w="100" w:type="dxa"/>
      </w:tblCellMar>
    </w:tblPr>
  </w:style>
  <w:style w:type="table" w:customStyle="1" w:styleId="aff2">
    <w:basedOn w:val="TableNormal"/>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ind w:left="1080"/>
    </w:pPr>
    <w:rPr>
      <w:color w:val="000000"/>
      <w:sz w:val="20"/>
      <w:szCs w:val="20"/>
    </w:rPr>
    <w:tblPr>
      <w:tblStyleRowBandSize w:val="1"/>
      <w:tblStyleColBandSize w:val="1"/>
      <w:tblCellMar>
        <w:top w:w="100" w:type="dxa"/>
        <w:left w:w="100" w:type="dxa"/>
        <w:bottom w:w="100" w:type="dxa"/>
        <w:right w:w="100" w:type="dxa"/>
      </w:tblCellMar>
    </w:tblPr>
  </w:style>
  <w:style w:type="table" w:customStyle="1" w:styleId="aff3">
    <w:basedOn w:val="TableNormal"/>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ind w:left="1080"/>
    </w:pPr>
    <w:rPr>
      <w:color w:val="000000"/>
      <w:sz w:val="20"/>
      <w:szCs w:val="20"/>
    </w:rPr>
    <w:tblPr>
      <w:tblStyleRowBandSize w:val="1"/>
      <w:tblStyleColBandSize w:val="1"/>
      <w:tblCellMar>
        <w:top w:w="100" w:type="dxa"/>
        <w:left w:w="100" w:type="dxa"/>
        <w:bottom w:w="100" w:type="dxa"/>
        <w:right w:w="100" w:type="dxa"/>
      </w:tblCellMar>
    </w:tblPr>
  </w:style>
  <w:style w:type="table" w:customStyle="1" w:styleId="aff4">
    <w:basedOn w:val="TableNormal"/>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ind w:left="1080"/>
    </w:pPr>
    <w:rPr>
      <w:color w:val="000000"/>
      <w:sz w:val="20"/>
      <w:szCs w:val="20"/>
    </w:rPr>
    <w:tblPr>
      <w:tblStyleRowBandSize w:val="1"/>
      <w:tblStyleColBandSize w:val="1"/>
      <w:tblCellMar>
        <w:top w:w="100" w:type="dxa"/>
        <w:left w:w="100" w:type="dxa"/>
        <w:bottom w:w="100" w:type="dxa"/>
        <w:right w:w="100" w:type="dxa"/>
      </w:tblCellMar>
    </w:tblPr>
  </w:style>
  <w:style w:type="table" w:customStyle="1" w:styleId="aff5">
    <w:basedOn w:val="TableNormal"/>
    <w:pPr>
      <w:ind w:left="1080"/>
    </w:pPr>
    <w:rPr>
      <w:sz w:val="22"/>
      <w:szCs w:val="22"/>
    </w:rPr>
    <w:tblPr>
      <w:tblStyleRowBandSize w:val="1"/>
      <w:tblStyleColBandSize w:val="1"/>
      <w:tblCellMar>
        <w:left w:w="0" w:type="dxa"/>
        <w:right w:w="0" w:type="dxa"/>
      </w:tblCellMar>
    </w:tblPr>
  </w:style>
  <w:style w:type="table" w:customStyle="1" w:styleId="aff6">
    <w:basedOn w:val="TableNormal"/>
    <w:pPr>
      <w:ind w:left="1080"/>
    </w:pPr>
    <w:rPr>
      <w:sz w:val="22"/>
      <w:szCs w:val="22"/>
    </w:rPr>
    <w:tblPr>
      <w:tblStyleRowBandSize w:val="1"/>
      <w:tblStyleColBandSize w:val="1"/>
      <w:tblCellMar>
        <w:left w:w="0" w:type="dxa"/>
        <w:right w:w="0" w:type="dxa"/>
      </w:tblCellMar>
    </w:tblPr>
  </w:style>
  <w:style w:type="table" w:customStyle="1" w:styleId="aff7">
    <w:basedOn w:val="TableNormal"/>
    <w:pPr>
      <w:ind w:left="1080"/>
    </w:pPr>
    <w:rPr>
      <w:sz w:val="22"/>
      <w:szCs w:val="22"/>
    </w:rPr>
    <w:tblPr>
      <w:tblStyleRowBandSize w:val="1"/>
      <w:tblStyleColBandSize w:val="1"/>
      <w:tblCellMar>
        <w:left w:w="0" w:type="dxa"/>
        <w:right w:w="0" w:type="dxa"/>
      </w:tblCellMar>
    </w:tblPr>
  </w:style>
  <w:style w:type="table" w:customStyle="1" w:styleId="aff8">
    <w:basedOn w:val="TableNormal"/>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ind w:left="1080"/>
    </w:pPr>
    <w:rPr>
      <w:color w:val="000000"/>
      <w:sz w:val="20"/>
      <w:szCs w:val="20"/>
    </w:rPr>
    <w:tblPr>
      <w:tblStyleRowBandSize w:val="1"/>
      <w:tblStyleColBandSize w:val="1"/>
      <w:tblCellMar>
        <w:top w:w="100" w:type="dxa"/>
        <w:left w:w="100" w:type="dxa"/>
        <w:bottom w:w="100" w:type="dxa"/>
        <w:right w:w="100" w:type="dxa"/>
      </w:tblCellMar>
    </w:tblPr>
  </w:style>
  <w:style w:type="table" w:customStyle="1" w:styleId="aff9">
    <w:basedOn w:val="TableNormal"/>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ind w:left="1080"/>
    </w:pPr>
    <w:rPr>
      <w:color w:val="000000"/>
      <w:sz w:val="20"/>
      <w:szCs w:val="20"/>
    </w:rPr>
    <w:tblPr>
      <w:tblStyleRowBandSize w:val="1"/>
      <w:tblStyleColBandSize w:val="1"/>
      <w:tblCellMar>
        <w:top w:w="100" w:type="dxa"/>
        <w:left w:w="100" w:type="dxa"/>
        <w:bottom w:w="100" w:type="dxa"/>
        <w:right w:w="100" w:type="dxa"/>
      </w:tblCellMar>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CellMar>
        <w:top w:w="100" w:type="dxa"/>
        <w:left w:w="100" w:type="dxa"/>
        <w:bottom w:w="100" w:type="dxa"/>
        <w:right w:w="100" w:type="dxa"/>
      </w:tblCellMar>
    </w:tblPr>
  </w:style>
  <w:style w:type="table" w:customStyle="1" w:styleId="affc">
    <w:basedOn w:val="TableNormal"/>
    <w:tblPr>
      <w:tblStyleRowBandSize w:val="1"/>
      <w:tblStyleColBandSize w:val="1"/>
      <w:tblCellMar>
        <w:top w:w="100" w:type="dxa"/>
        <w:left w:w="100" w:type="dxa"/>
        <w:bottom w:w="100" w:type="dxa"/>
        <w:right w:w="100" w:type="dxa"/>
      </w:tblCellMar>
    </w:tblPr>
  </w:style>
  <w:style w:type="table" w:customStyle="1" w:styleId="affd">
    <w:basedOn w:val="TableNormal"/>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ind w:left="1080"/>
    </w:pPr>
    <w:rPr>
      <w:color w:val="000000"/>
      <w:sz w:val="20"/>
      <w:szCs w:val="20"/>
    </w:rPr>
    <w:tblPr>
      <w:tblStyleRowBandSize w:val="1"/>
      <w:tblStyleColBandSize w:val="1"/>
      <w:tblCellMar>
        <w:top w:w="100" w:type="dxa"/>
        <w:left w:w="100" w:type="dxa"/>
        <w:bottom w:w="100" w:type="dxa"/>
        <w:right w:w="100" w:type="dxa"/>
      </w:tblCellMar>
    </w:tblPr>
  </w:style>
  <w:style w:type="table" w:customStyle="1" w:styleId="affe">
    <w:basedOn w:val="TableNormal"/>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ind w:left="1080"/>
    </w:pPr>
    <w:rPr>
      <w:color w:val="000000"/>
      <w:sz w:val="20"/>
      <w:szCs w:val="20"/>
    </w:rPr>
    <w:tblPr>
      <w:tblStyleRowBandSize w:val="1"/>
      <w:tblStyleColBandSize w:val="1"/>
      <w:tblCellMar>
        <w:top w:w="100" w:type="dxa"/>
        <w:left w:w="100" w:type="dxa"/>
        <w:bottom w:w="100" w:type="dxa"/>
        <w:right w:w="100" w:type="dxa"/>
      </w:tblCellMar>
    </w:tblPr>
  </w:style>
  <w:style w:type="table" w:customStyle="1" w:styleId="afff">
    <w:basedOn w:val="TableNormal"/>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ind w:left="1080"/>
    </w:pPr>
    <w:rPr>
      <w:color w:val="000000"/>
      <w:sz w:val="20"/>
      <w:szCs w:val="20"/>
    </w:rPr>
    <w:tblPr>
      <w:tblStyleRowBandSize w:val="1"/>
      <w:tblStyleColBandSize w:val="1"/>
      <w:tblCellMar>
        <w:top w:w="100" w:type="dxa"/>
        <w:left w:w="100" w:type="dxa"/>
        <w:bottom w:w="100" w:type="dxa"/>
        <w:right w:w="100" w:type="dxa"/>
      </w:tblCellMar>
    </w:tblPr>
  </w:style>
  <w:style w:type="table" w:customStyle="1" w:styleId="afff0">
    <w:basedOn w:val="TableNormal"/>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ind w:left="1080"/>
    </w:pPr>
    <w:rPr>
      <w:color w:val="000000"/>
      <w:sz w:val="20"/>
      <w:szCs w:val="20"/>
    </w:rPr>
    <w:tblPr>
      <w:tblStyleRowBandSize w:val="1"/>
      <w:tblStyleColBandSize w:val="1"/>
      <w:tblCellMar>
        <w:top w:w="100" w:type="dxa"/>
        <w:left w:w="100" w:type="dxa"/>
        <w:bottom w:w="100" w:type="dxa"/>
        <w:right w:w="100" w:type="dxa"/>
      </w:tblCellMar>
    </w:tblPr>
  </w:style>
  <w:style w:type="table" w:customStyle="1" w:styleId="afff1">
    <w:basedOn w:val="TableNormal"/>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ind w:left="1080"/>
    </w:pPr>
    <w:rPr>
      <w:color w:val="000000"/>
      <w:sz w:val="20"/>
      <w:szCs w:val="20"/>
    </w:rPr>
    <w:tblPr>
      <w:tblStyleRowBandSize w:val="1"/>
      <w:tblStyleColBandSize w:val="1"/>
      <w:tblCellMar>
        <w:top w:w="100" w:type="dxa"/>
        <w:left w:w="100" w:type="dxa"/>
        <w:bottom w:w="100" w:type="dxa"/>
        <w:right w:w="100" w:type="dxa"/>
      </w:tblCellMar>
    </w:tblPr>
  </w:style>
  <w:style w:type="table" w:customStyle="1" w:styleId="afff2">
    <w:basedOn w:val="TableNormal"/>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ind w:left="1080"/>
    </w:pPr>
    <w:rPr>
      <w:color w:val="000000"/>
      <w:sz w:val="20"/>
      <w:szCs w:val="20"/>
    </w:rPr>
    <w:tblPr>
      <w:tblStyleRowBandSize w:val="1"/>
      <w:tblStyleColBandSize w:val="1"/>
      <w:tblCellMar>
        <w:top w:w="100" w:type="dxa"/>
        <w:left w:w="100" w:type="dxa"/>
        <w:bottom w:w="100" w:type="dxa"/>
        <w:right w:w="100" w:type="dxa"/>
      </w:tblCellMar>
    </w:tblPr>
  </w:style>
  <w:style w:type="table" w:customStyle="1" w:styleId="afff3">
    <w:basedOn w:val="TableNormal"/>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ind w:left="1080"/>
    </w:pPr>
    <w:rPr>
      <w:color w:val="000000"/>
      <w:sz w:val="20"/>
      <w:szCs w:val="20"/>
    </w:rPr>
    <w:tblPr>
      <w:tblStyleRowBandSize w:val="1"/>
      <w:tblStyleColBandSize w:val="1"/>
      <w:tblCellMar>
        <w:top w:w="100" w:type="dxa"/>
        <w:left w:w="100" w:type="dxa"/>
        <w:bottom w:w="100" w:type="dxa"/>
        <w:right w:w="100" w:type="dxa"/>
      </w:tblCellMar>
    </w:tblPr>
  </w:style>
  <w:style w:type="table" w:customStyle="1" w:styleId="afff4">
    <w:basedOn w:val="TableNormal"/>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ind w:left="1080"/>
    </w:pPr>
    <w:rPr>
      <w:color w:val="000000"/>
      <w:sz w:val="20"/>
      <w:szCs w:val="20"/>
    </w:rPr>
    <w:tblPr>
      <w:tblStyleRowBandSize w:val="1"/>
      <w:tblStyleColBandSize w:val="1"/>
      <w:tblCellMar>
        <w:top w:w="100" w:type="dxa"/>
        <w:left w:w="100" w:type="dxa"/>
        <w:bottom w:w="100" w:type="dxa"/>
        <w:right w:w="100" w:type="dxa"/>
      </w:tblCellMar>
    </w:tblPr>
  </w:style>
  <w:style w:type="table" w:customStyle="1" w:styleId="afff5">
    <w:basedOn w:val="TableNormal"/>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ind w:left="1080"/>
    </w:pPr>
    <w:rPr>
      <w:color w:val="000000"/>
      <w:sz w:val="20"/>
      <w:szCs w:val="20"/>
    </w:rPr>
    <w:tblPr>
      <w:tblStyleRowBandSize w:val="1"/>
      <w:tblStyleColBandSize w:val="1"/>
      <w:tblCellMar>
        <w:top w:w="100" w:type="dxa"/>
        <w:left w:w="100" w:type="dxa"/>
        <w:bottom w:w="100" w:type="dxa"/>
        <w:right w:w="100" w:type="dxa"/>
      </w:tblCellMar>
    </w:tblPr>
  </w:style>
  <w:style w:type="table" w:customStyle="1" w:styleId="afff6">
    <w:basedOn w:val="TableNormal"/>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ind w:left="1080"/>
    </w:pPr>
    <w:rPr>
      <w:color w:val="000000"/>
      <w:sz w:val="20"/>
      <w:szCs w:val="20"/>
    </w:rPr>
    <w:tblPr>
      <w:tblStyleRowBandSize w:val="1"/>
      <w:tblStyleColBandSize w:val="1"/>
      <w:tblCellMar>
        <w:top w:w="100" w:type="dxa"/>
        <w:left w:w="100" w:type="dxa"/>
        <w:bottom w:w="100" w:type="dxa"/>
        <w:right w:w="100" w:type="dxa"/>
      </w:tblCellMar>
    </w:tblPr>
  </w:style>
  <w:style w:type="table" w:customStyle="1" w:styleId="afff7">
    <w:basedOn w:val="TableNormal"/>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ind w:left="1080"/>
    </w:pPr>
    <w:rPr>
      <w:color w:val="000000"/>
      <w:sz w:val="20"/>
      <w:szCs w:val="20"/>
    </w:rPr>
    <w:tblPr>
      <w:tblStyleRowBandSize w:val="1"/>
      <w:tblStyleColBandSize w:val="1"/>
      <w:tblCellMar>
        <w:top w:w="100" w:type="dxa"/>
        <w:left w:w="100" w:type="dxa"/>
        <w:bottom w:w="100" w:type="dxa"/>
        <w:right w:w="100" w:type="dxa"/>
      </w:tblCellMar>
    </w:tblPr>
  </w:style>
  <w:style w:type="table" w:customStyle="1" w:styleId="afff8">
    <w:basedOn w:val="TableNormal"/>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ind w:left="1080"/>
    </w:pPr>
    <w:rPr>
      <w:color w:val="000000"/>
      <w:sz w:val="20"/>
      <w:szCs w:val="20"/>
    </w:rPr>
    <w:tblPr>
      <w:tblStyleRowBandSize w:val="1"/>
      <w:tblStyleColBandSize w:val="1"/>
      <w:tblCellMar>
        <w:top w:w="100" w:type="dxa"/>
        <w:left w:w="100" w:type="dxa"/>
        <w:bottom w:w="100" w:type="dxa"/>
        <w:right w:w="100" w:type="dxa"/>
      </w:tblCellMar>
    </w:tblPr>
  </w:style>
  <w:style w:type="paragraph" w:styleId="Subtitle">
    <w:name w:val="Subtitle"/>
    <w:basedOn w:val="Normal"/>
    <w:next w:val="Normal"/>
    <w:uiPriority w:val="11"/>
    <w:qFormat/>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table" w:customStyle="1" w:styleId="afff9">
    <w:basedOn w:val="TableNormal"/>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ind w:left="1080"/>
    </w:pPr>
    <w:rPr>
      <w:color w:val="000000"/>
      <w:sz w:val="20"/>
      <w:szCs w:val="20"/>
    </w:rPr>
    <w:tblPr>
      <w:tblStyleRowBandSize w:val="1"/>
      <w:tblStyleColBandSize w:val="1"/>
    </w:tblPr>
  </w:style>
  <w:style w:type="table" w:customStyle="1" w:styleId="afffa">
    <w:basedOn w:val="TableNormal"/>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ind w:left="1080"/>
    </w:pPr>
    <w:rPr>
      <w:color w:val="000000"/>
      <w:sz w:val="20"/>
      <w:szCs w:val="20"/>
    </w:rPr>
    <w:tblPr>
      <w:tblStyleRowBandSize w:val="1"/>
      <w:tblStyleColBandSize w:val="1"/>
    </w:tblPr>
  </w:style>
  <w:style w:type="table" w:customStyle="1" w:styleId="afffb">
    <w:basedOn w:val="TableNormal"/>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ind w:left="1080"/>
    </w:pPr>
    <w:rPr>
      <w:color w:val="000000"/>
      <w:sz w:val="20"/>
      <w:szCs w:val="20"/>
    </w:rPr>
    <w:tblPr>
      <w:tblStyleRowBandSize w:val="1"/>
      <w:tblStyleColBandSize w:val="1"/>
    </w:tblPr>
  </w:style>
  <w:style w:type="table" w:customStyle="1" w:styleId="afffc">
    <w:basedOn w:val="TableNormal"/>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ind w:left="1080"/>
    </w:pPr>
    <w:rPr>
      <w:color w:val="000000"/>
      <w:sz w:val="20"/>
      <w:szCs w:val="20"/>
    </w:rPr>
    <w:tblPr>
      <w:tblStyleRowBandSize w:val="1"/>
      <w:tblStyleColBandSize w:val="1"/>
    </w:tblPr>
  </w:style>
  <w:style w:type="table" w:customStyle="1" w:styleId="afffd">
    <w:basedOn w:val="TableNormal"/>
    <w:pPr>
      <w:widowControl/>
      <w:pBdr>
        <w:top w:val="none" w:sz="0" w:space="0" w:color="000000"/>
        <w:left w:val="none" w:sz="0" w:space="0" w:color="000000"/>
        <w:bottom w:val="none" w:sz="0" w:space="0" w:color="000000"/>
        <w:right w:val="none" w:sz="0" w:space="0" w:color="000000"/>
        <w:between w:val="none" w:sz="0" w:space="0" w:color="000000"/>
      </w:pBdr>
      <w:spacing w:after="0" w:line="240" w:lineRule="auto"/>
      <w:ind w:left="1080"/>
    </w:pPr>
    <w:rPr>
      <w:color w:val="000000"/>
      <w:sz w:val="20"/>
      <w:szCs w:val="20"/>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2.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pn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0rJbsSIYlqzrLzVc2dRLT6KrUw==">CgMxLjAyCGguZ2pkZ3hzMg5oLnd4am9zanQ3ZHNueTIOaC5lYW4ycG9sMmwxNWsyDmgueDc5YnJtNTB1aHVuMg5oLjlmenFlcmV0ZmpwazIOaC5sdzd1ZGZ6OWY5Ym8yDGguN2l6M21kNTl2OTIOaC4xbm5ocnc1dGxzdnoyDmguZDRoYWNlNzA2ejhpMg5oLnNwYmgwOGttZWRudjIOaC4yZWJ6eDA3ZWNqdWsyDmguajR0Y3NxamU0dXRnMg5oLmRnOW1hdW4ycWdnODIOaC4zNWk0Zm9oNTNuNGkyDmguc29zZ3o3MzBuN3FjMg5oLmltbDJuMnZjY3hpNjIOaC41c3FkN2J1cDlhNzUyDmguanhtdDh1M25oeGZtMg5oLm00aHh0bzZ3YWUzMDIOaC5ka3J1YTRiNmJ0OGo4AHIhMXN4QW56cVlhTlNZUHY5eHN3Y0pVZ0VnazJOY2FHN29X</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7</Pages>
  <Words>2208</Words>
  <Characters>12588</Characters>
  <Application>Microsoft Office Word</Application>
  <DocSecurity>0</DocSecurity>
  <Lines>104</Lines>
  <Paragraphs>29</Paragraphs>
  <ScaleCrop>false</ScaleCrop>
  <Company/>
  <LinksUpToDate>false</LinksUpToDate>
  <CharactersWithSpaces>14767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BenayLap</dc:creator>
  <cp:lastModifiedBy>Rajeev Jaiswal</cp:lastModifiedBy>
  <cp:revision>2</cp:revision>
  <dcterms:created xsi:type="dcterms:W3CDTF">2023-02-03T05:46:00Z</dcterms:created>
  <dcterms:modified xsi:type="dcterms:W3CDTF">2026-10-13T04:24:00Z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e94840c61e951f91cd1e084f00c394d672d81606a99e7de7feaef5e327bf249a</vt:lpwstr>
  </property>
</Properties>
</file>