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pPr>
        <w:pStyle w:val="Title"/>
        <w:jc w:val="center"/>
      </w:pPr>
      <w:r>
        <w:t>HIRING PROCEDURE</w:t>
      </w:r>
    </w:p>
    <w:tbl>
      <w:tblPr>
        <w:tblStyle w:val="TableGrid"/>
        <w:tblW w:type="auto" w:w="0"/>
        <w:tblLook w:firstColumn="1" w:firstRow="1" w:lastColumn="0" w:lastRow="0" w:noHBand="0" w:noVBand="1" w:val="04A0"/>
      </w:tblPr>
      <w:tblGrid>
        <w:gridCol w:w="4961"/>
        <w:gridCol w:w="4961"/>
      </w:tblGrid>
      <w:tr>
        <w:tc>
          <w:tcPr>
            <w:tcW w:type="dxa" w:w="4961"/>
          </w:tcPr>
          <w:p>
            <w:r>
              <w:rPr>
                <w:sz w:val="18"/>
              </w:rPr>
              <w:t>Policy Document ID</w:t>
            </w:r>
          </w:p>
        </w:tc>
        <w:tc>
          <w:tcPr>
            <w:tcW w:type="dxa" w:w="4961"/>
          </w:tcPr>
          <w:p>
            <w:r>
              <w:rPr>
                <w:sz w:val="18"/>
              </w:rPr>
              <w:t>ZED-POL-07</w:t>
            </w:r>
          </w:p>
        </w:tc>
      </w:tr>
      <w:tr>
        <w:tc>
          <w:tcPr>
            <w:tcW w:type="dxa" w:w="4961"/>
          </w:tcPr>
          <w:p>
            <w:r>
              <w:rPr>
                <w:sz w:val="18"/>
              </w:rPr>
              <w:t>Document Version</w:t>
            </w:r>
          </w:p>
        </w:tc>
        <w:tc>
          <w:tcPr>
            <w:tcW w:type="dxa" w:w="4961"/>
          </w:tcPr>
          <w:p>
            <w:r>
              <w:rPr>
                <w:sz w:val="18"/>
              </w:rPr>
              <w:t>v2.0 (Renewal 2025–2026)</w:t>
            </w:r>
          </w:p>
        </w:tc>
      </w:tr>
      <w:tr>
        <w:tc>
          <w:tcPr>
            <w:tcW w:type="dxa" w:w="4961"/>
          </w:tcPr>
          <w:p>
            <w:r>
              <w:rPr>
                <w:sz w:val="18"/>
              </w:rPr>
              <w:t>Last Review Date</w:t>
            </w:r>
          </w:p>
        </w:tc>
        <w:tc>
          <w:tcPr>
            <w:tcW w:type="dxa" w:w="4961"/>
          </w:tcPr>
          <w:p>
            <w:r>
              <w:t>October 1, 2025</w:t>
            </w:r>
          </w:p>
        </w:tc>
      </w:tr>
      <w:tr>
        <w:tc>
          <w:tcPr>
            <w:tcW w:type="dxa" w:w="4961"/>
          </w:tcPr>
          <w:p>
            <w:r>
              <w:rPr>
                <w:sz w:val="18"/>
              </w:rPr>
              <w:t>Approval Authority / Status</w:t>
            </w:r>
          </w:p>
        </w:tc>
        <w:tc>
          <w:tcPr>
            <w:tcW w:type="dxa" w:w="4961"/>
          </w:tcPr>
          <w:p>
            <w:r>
              <w:rPr>
                <w:sz w:val="18"/>
              </w:rPr>
              <w:t>Chief Information Security Officer (CISO) &amp; Management; authorized approval to be recorded</w:t>
            </w:r>
          </w:p>
        </w:tc>
      </w:tr>
      <w:tr>
        <w:tc>
          <w:tcPr>
            <w:tcW w:type="dxa" w:w="4961"/>
          </w:tcPr>
          <w:p>
            <w:r>
              <w:rPr>
                <w:sz w:val="18"/>
              </w:rPr>
              <w:t>Classification</w:t>
            </w:r>
          </w:p>
        </w:tc>
        <w:tc>
          <w:tcPr>
            <w:tcW w:type="dxa" w:w="4961"/>
          </w:tcPr>
          <w:p>
            <w:r>
              <w:rPr>
                <w:sz w:val="18"/>
              </w:rPr>
              <w:t>Confidential – Internal &amp; Authorized Auditor Access Only</w:t>
            </w:r>
          </w:p>
        </w:tc>
      </w:tr>
    </w:tbl>
    <w:p>
      <w:pPr>
        <w:pStyle w:val="Heading1"/>
      </w:pPr>
      <w:r>
        <w:t>1. Purpose and scope</w:t>
      </w:r>
    </w:p>
    <w:p>
      <w:r>
        <w:t>Define a consistent, documented hiring process for employees and, where applicable, contractors. HR owns the process; hiring managers own role requirements and selection decisions within delegated authority.</w:t>
      </w:r>
    </w:p>
    <w:p>
      <w:pPr>
        <w:pStyle w:val="Heading1"/>
      </w:pPr>
      <w:r>
        <w:t>2. Requisition and role definition</w:t>
      </w:r>
    </w:p>
    <w:p>
      <w:r>
        <w:t>Before recruitment begins, the hiring manager documents the business need, reporting line, responsibilities, required qualifications, access sensitivity, and budget. An authorized approver approves the requisition. HR maintains the approved job description and recruitment record.</w:t>
      </w:r>
    </w:p>
    <w:p>
      <w:pPr>
        <w:pStyle w:val="Heading1"/>
      </w:pPr>
      <w:r>
        <w:t>3. Selection</w:t>
      </w:r>
    </w:p>
    <w:p>
      <w:r>
        <w:t>HR and the hiring manager use job-related criteria and consistent interview or assessment records. Applicants must receive fair consideration. Interviewers record decisions and disclose conflicts. Reference, identity, or background checks may be conducted only when appropriate to the role, authorized, consented to where required, and permitted by applicable law.</w:t>
      </w:r>
    </w:p>
    <w:p>
      <w:pPr>
        <w:pStyle w:val="Heading1"/>
      </w:pPr>
      <w:r>
        <w:t>4. Offer and onboarding handoff</w:t>
      </w:r>
    </w:p>
    <w:p>
      <w:r>
        <w:t>An authorized representative approves the offer before it is issued. HR retains the offer and acceptance. Before access is granted, HR provides IT with an authorized joiner request specifying role, manager, start date, and required access. IT provisions only approved access and equipment. HR provides required policy, confidentiality, and security materials and retains completion evidence.</w:t>
      </w:r>
    </w:p>
    <w:p>
      <w:pPr>
        <w:pStyle w:val="Heading1"/>
      </w:pPr>
      <w:r>
        <w:t>5. Privacy and records</w:t>
      </w:r>
    </w:p>
    <w:p>
      <w:r>
        <w:t>Recruitment information is restricted to authorized personnel and retained under the approved schedule. HR records the requisition, job description, decision rationale, approvals, checks performed, offer, and onboarding handoff. Do not claim checks or training occurred without supporting records.</w:t>
      </w:r>
    </w:p>
    <w:p>
      <w:pPr>
        <w:pStyle w:val="Heading1"/>
      </w:pPr>
      <w:r>
        <w:t>6. Exceptions and review</w:t>
      </w:r>
    </w:p>
    <w:p>
      <w:r>
        <w:t>Exceptions require documented approval from HR and the designated management authority. HR reviews the process annually and when legal or operational requirements change.</w:t>
      </w:r>
    </w:p>
    <w:p>
      <w:pPr>
        <w:pStyle w:val="Heading1"/>
      </w:pPr>
      <w:r>
        <w:t>Document approval</w:t>
      </w:r>
    </w:p>
    <w:p>
      <w:r>
        <w:t>Approval name, role, signature/record reference, and approval date must be completed by authorized personnel after substantive review. This draft is not evidence of approval or operation during the audit period.</w:t>
      </w:r>
    </w:p>
    <w:sectPr>
      <w:headerReference xmlns:r="http://schemas.openxmlformats.org/officeDocument/2006/relationships" r:id="rId15" w:type="default"/>
      <w:headerReference xmlns:r="http://schemas.openxmlformats.org/officeDocument/2006/relationships" r:id="rId16" w:type="first"/>
      <w:footerReference xmlns:r="http://schemas.openxmlformats.org/officeDocument/2006/relationships" r:id="rId17" w:type="first"/>
      <w:footerReference xmlns:r="http://schemas.openxmlformats.org/officeDocument/2006/relationships" r:id="rId18" w:type="default"/>
      <w:pgSz w:h="16838" w:w="11906" w:orient="portrait"/>
      <w:pgMar w:header="0" w:bottom="1440" w:left="851" w:right="1133" w:top="567"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Verdana"/>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911" w:hanging="277.0000000000001"/>
      </w:pPr>
      <w:rPr>
        <w:rFonts w:ascii="Arial" w:cs="Arial" w:eastAsia="Arial" w:hAnsi="Arial"/>
        <w:b w:val="0"/>
        <w:i w:val="0"/>
        <w:sz w:val="24"/>
        <w:szCs w:val="24"/>
      </w:rPr>
    </w:lvl>
    <w:lvl w:ilvl="1">
      <w:start w:val="0"/>
      <w:numFmt w:val="bullet"/>
      <w:lvlText w:val="•"/>
      <w:lvlJc w:val="left"/>
      <w:pPr>
        <w:ind w:left="1902" w:hanging="277"/>
      </w:pPr>
      <w:rPr/>
    </w:lvl>
    <w:lvl w:ilvl="2">
      <w:start w:val="0"/>
      <w:numFmt w:val="bullet"/>
      <w:lvlText w:val="•"/>
      <w:lvlJc w:val="left"/>
      <w:pPr>
        <w:ind w:left="2884" w:hanging="277"/>
      </w:pPr>
      <w:rPr/>
    </w:lvl>
    <w:lvl w:ilvl="3">
      <w:start w:val="0"/>
      <w:numFmt w:val="bullet"/>
      <w:lvlText w:val="•"/>
      <w:lvlJc w:val="left"/>
      <w:pPr>
        <w:ind w:left="3866" w:hanging="276.9999999999991"/>
      </w:pPr>
      <w:rPr/>
    </w:lvl>
    <w:lvl w:ilvl="4">
      <w:start w:val="0"/>
      <w:numFmt w:val="bullet"/>
      <w:lvlText w:val="•"/>
      <w:lvlJc w:val="left"/>
      <w:pPr>
        <w:ind w:left="4848" w:hanging="277"/>
      </w:pPr>
      <w:rPr/>
    </w:lvl>
    <w:lvl w:ilvl="5">
      <w:start w:val="0"/>
      <w:numFmt w:val="bullet"/>
      <w:lvlText w:val="•"/>
      <w:lvlJc w:val="left"/>
      <w:pPr>
        <w:ind w:left="5830" w:hanging="277"/>
      </w:pPr>
      <w:rPr/>
    </w:lvl>
    <w:lvl w:ilvl="6">
      <w:start w:val="0"/>
      <w:numFmt w:val="bullet"/>
      <w:lvlText w:val="•"/>
      <w:lvlJc w:val="left"/>
      <w:pPr>
        <w:ind w:left="6812" w:hanging="277"/>
      </w:pPr>
      <w:rPr/>
    </w:lvl>
    <w:lvl w:ilvl="7">
      <w:start w:val="0"/>
      <w:numFmt w:val="bullet"/>
      <w:lvlText w:val="•"/>
      <w:lvlJc w:val="left"/>
      <w:pPr>
        <w:ind w:left="7794" w:hanging="277.0000000000009"/>
      </w:pPr>
      <w:rPr/>
    </w:lvl>
    <w:lvl w:ilvl="8">
      <w:start w:val="0"/>
      <w:numFmt w:val="bullet"/>
      <w:lvlText w:val="•"/>
      <w:lvlJc w:val="left"/>
      <w:pPr>
        <w:ind w:left="8776" w:hanging="277"/>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nhideWhenUsed w:val="1"/>
    <w:qFormat w:val="1"/>
    <w:rsid w:val="00151C08"/>
    <w:pPr>
      <w:widowControl w:val="1"/>
      <w:tabs>
        <w:tab w:val="num" w:pos="1296"/>
      </w:tabs>
      <w:spacing w:after="60" w:before="240" w:line="240" w:lineRule="auto"/>
      <w:ind w:left="1296" w:hanging="1296"/>
      <w:outlineLvl w:val="6"/>
    </w:pPr>
    <w:rPr>
      <w:rFonts w:ascii="Arial" w:cs="Times New Roman" w:eastAsia="Times New Roman" w:hAnsi="Arial"/>
      <w:szCs w:val="20"/>
    </w:rPr>
  </w:style>
  <w:style w:type="paragraph" w:styleId="Heading8">
    <w:name w:val="heading 8"/>
    <w:basedOn w:val="Normal"/>
    <w:next w:val="Normal"/>
    <w:link w:val="Heading8Char"/>
    <w:semiHidden w:val="1"/>
    <w:unhideWhenUsed w:val="1"/>
    <w:qFormat w:val="1"/>
    <w:rsid w:val="00151C08"/>
    <w:pPr>
      <w:widowControl w:val="1"/>
      <w:tabs>
        <w:tab w:val="num" w:pos="1440"/>
      </w:tabs>
      <w:spacing w:after="60" w:before="240" w:line="240" w:lineRule="auto"/>
      <w:ind w:left="1440" w:hanging="1440"/>
      <w:outlineLvl w:val="7"/>
    </w:pPr>
    <w:rPr>
      <w:rFonts w:ascii="Arial" w:cs="Times New Roman" w:eastAsia="Times New Roman" w:hAnsi="Arial"/>
      <w:i w:val="1"/>
      <w:szCs w:val="20"/>
    </w:rPr>
  </w:style>
  <w:style w:type="paragraph" w:styleId="Heading9">
    <w:name w:val="heading 9"/>
    <w:basedOn w:val="Normal"/>
    <w:next w:val="Normal"/>
    <w:link w:val="Heading9Char"/>
    <w:semiHidden w:val="1"/>
    <w:unhideWhenUsed w:val="1"/>
    <w:qFormat w:val="1"/>
    <w:rsid w:val="00151C08"/>
    <w:pPr>
      <w:widowControl w:val="1"/>
      <w:tabs>
        <w:tab w:val="num" w:pos="1584"/>
      </w:tabs>
      <w:spacing w:after="60" w:before="240" w:line="240" w:lineRule="auto"/>
      <w:ind w:left="1584" w:hanging="1584"/>
      <w:outlineLvl w:val="8"/>
    </w:pPr>
    <w:rPr>
      <w:rFonts w:ascii="Arial" w:cs="Times New Roman" w:eastAsia="Times New Roman" w:hAnsi="Arial"/>
      <w:b w:val="1"/>
      <w:i w:val="1"/>
      <w:sz w:val="18"/>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1" w:customStyle="1">
    <w:name w:val="Normal1"/>
    <w:rsid w:val="0058608B"/>
  </w:style>
  <w:style w:type="table" w:styleId="a" w:customStyle="1">
    <w:basedOn w:val="TableNormal"/>
    <w:rsid w:val="0058608B"/>
    <w:tblPr>
      <w:tblStyleRowBandSize w:val="1"/>
      <w:tblStyleColBandSize w:val="1"/>
      <w:tblInd w:w="0.0" w:type="dxa"/>
      <w:tblCellMar>
        <w:top w:w="0.0" w:type="dxa"/>
        <w:left w:w="108.0" w:type="dxa"/>
        <w:bottom w:w="0.0" w:type="dxa"/>
        <w:right w:w="108.0" w:type="dxa"/>
      </w:tblCellMar>
    </w:tblPr>
  </w:style>
  <w:style w:type="paragraph" w:styleId="CommentText">
    <w:name w:val="annotation text"/>
    <w:basedOn w:val="Normal"/>
    <w:link w:val="CommentTextChar"/>
    <w:uiPriority w:val="99"/>
    <w:semiHidden w:val="1"/>
    <w:unhideWhenUsed w:val="1"/>
    <w:rsid w:val="0058608B"/>
    <w:pPr>
      <w:spacing w:line="240" w:lineRule="auto"/>
    </w:pPr>
    <w:rPr>
      <w:sz w:val="20"/>
      <w:szCs w:val="20"/>
    </w:rPr>
  </w:style>
  <w:style w:type="character" w:styleId="CommentTextChar" w:customStyle="1">
    <w:name w:val="Comment Text Char"/>
    <w:basedOn w:val="DefaultParagraphFont"/>
    <w:link w:val="CommentText"/>
    <w:uiPriority w:val="99"/>
    <w:semiHidden w:val="1"/>
    <w:rsid w:val="0058608B"/>
    <w:rPr>
      <w:sz w:val="20"/>
      <w:szCs w:val="20"/>
    </w:rPr>
  </w:style>
  <w:style w:type="character" w:styleId="CommentReference">
    <w:name w:val="annotation reference"/>
    <w:basedOn w:val="DefaultParagraphFont"/>
    <w:uiPriority w:val="99"/>
    <w:semiHidden w:val="1"/>
    <w:unhideWhenUsed w:val="1"/>
    <w:rsid w:val="0058608B"/>
    <w:rPr>
      <w:sz w:val="16"/>
      <w:szCs w:val="16"/>
    </w:rPr>
  </w:style>
  <w:style w:type="paragraph" w:styleId="BalloonText">
    <w:name w:val="Balloon Text"/>
    <w:basedOn w:val="Normal"/>
    <w:link w:val="BalloonTextChar"/>
    <w:uiPriority w:val="99"/>
    <w:semiHidden w:val="1"/>
    <w:unhideWhenUsed w:val="1"/>
    <w:rsid w:val="00440FD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40FD2"/>
    <w:rPr>
      <w:rFonts w:ascii="Tahoma" w:cs="Tahoma" w:hAnsi="Tahoma"/>
      <w:sz w:val="16"/>
      <w:szCs w:val="16"/>
    </w:rPr>
  </w:style>
  <w:style w:type="paragraph" w:styleId="Header">
    <w:name w:val="header"/>
    <w:basedOn w:val="Normal"/>
    <w:link w:val="HeaderChar"/>
    <w:uiPriority w:val="99"/>
    <w:unhideWhenUsed w:val="1"/>
    <w:rsid w:val="00440FD2"/>
    <w:pPr>
      <w:tabs>
        <w:tab w:val="center" w:pos="4680"/>
        <w:tab w:val="right" w:pos="9360"/>
      </w:tabs>
      <w:spacing w:after="0" w:line="240" w:lineRule="auto"/>
    </w:pPr>
  </w:style>
  <w:style w:type="character" w:styleId="HeaderChar" w:customStyle="1">
    <w:name w:val="Header Char"/>
    <w:basedOn w:val="DefaultParagraphFont"/>
    <w:link w:val="Header"/>
    <w:uiPriority w:val="99"/>
    <w:rsid w:val="00440FD2"/>
  </w:style>
  <w:style w:type="paragraph" w:styleId="Footer">
    <w:name w:val="footer"/>
    <w:basedOn w:val="Normal"/>
    <w:link w:val="FooterChar"/>
    <w:uiPriority w:val="99"/>
    <w:unhideWhenUsed w:val="1"/>
    <w:rsid w:val="00440FD2"/>
    <w:pPr>
      <w:tabs>
        <w:tab w:val="center" w:pos="4680"/>
        <w:tab w:val="right" w:pos="9360"/>
      </w:tabs>
      <w:spacing w:after="0" w:line="240" w:lineRule="auto"/>
    </w:pPr>
  </w:style>
  <w:style w:type="character" w:styleId="FooterChar" w:customStyle="1">
    <w:name w:val="Footer Char"/>
    <w:basedOn w:val="DefaultParagraphFont"/>
    <w:link w:val="Footer"/>
    <w:uiPriority w:val="99"/>
    <w:rsid w:val="00440FD2"/>
  </w:style>
  <w:style w:type="paragraph" w:styleId="CommentSubject">
    <w:name w:val="annotation subject"/>
    <w:basedOn w:val="CommentText"/>
    <w:next w:val="CommentText"/>
    <w:link w:val="CommentSubjectChar"/>
    <w:uiPriority w:val="99"/>
    <w:semiHidden w:val="1"/>
    <w:unhideWhenUsed w:val="1"/>
    <w:rsid w:val="00440FD2"/>
    <w:rPr>
      <w:b w:val="1"/>
      <w:bCs w:val="1"/>
    </w:rPr>
  </w:style>
  <w:style w:type="character" w:styleId="CommentSubjectChar" w:customStyle="1">
    <w:name w:val="Comment Subject Char"/>
    <w:basedOn w:val="CommentTextChar"/>
    <w:link w:val="CommentSubject"/>
    <w:uiPriority w:val="99"/>
    <w:semiHidden w:val="1"/>
    <w:rsid w:val="00440FD2"/>
    <w:rPr>
      <w:b w:val="1"/>
      <w:bCs w:val="1"/>
      <w:sz w:val="20"/>
      <w:szCs w:val="20"/>
    </w:rPr>
  </w:style>
  <w:style w:type="paragraph" w:styleId="TOC1">
    <w:name w:val="toc 1"/>
    <w:basedOn w:val="Normal"/>
    <w:next w:val="Normal"/>
    <w:autoRedefine w:val="1"/>
    <w:uiPriority w:val="39"/>
    <w:unhideWhenUsed w:val="1"/>
    <w:rsid w:val="00BE106C"/>
    <w:pPr>
      <w:tabs>
        <w:tab w:val="right" w:pos="9016"/>
      </w:tabs>
      <w:spacing w:after="100" w:line="240" w:lineRule="auto"/>
    </w:pPr>
  </w:style>
  <w:style w:type="paragraph" w:styleId="TOC2">
    <w:name w:val="toc 2"/>
    <w:basedOn w:val="Normal"/>
    <w:next w:val="Normal"/>
    <w:autoRedefine w:val="1"/>
    <w:uiPriority w:val="39"/>
    <w:unhideWhenUsed w:val="1"/>
    <w:rsid w:val="00440FD2"/>
    <w:pPr>
      <w:spacing w:after="100"/>
      <w:ind w:left="220"/>
    </w:pPr>
  </w:style>
  <w:style w:type="character" w:styleId="Hyperlink">
    <w:name w:val="Hyperlink"/>
    <w:basedOn w:val="DefaultParagraphFont"/>
    <w:uiPriority w:val="99"/>
    <w:unhideWhenUsed w:val="1"/>
    <w:rsid w:val="00440FD2"/>
    <w:rPr>
      <w:color w:val="0000ff" w:themeColor="hyperlink"/>
      <w:u w:val="single"/>
    </w:rPr>
  </w:style>
  <w:style w:type="paragraph" w:styleId="ListParagraph">
    <w:name w:val="List Paragraph"/>
    <w:basedOn w:val="Normal"/>
    <w:uiPriority w:val="34"/>
    <w:qFormat w:val="1"/>
    <w:rsid w:val="008625FB"/>
    <w:pPr>
      <w:ind w:left="720"/>
      <w:contextualSpacing w:val="1"/>
    </w:pPr>
  </w:style>
  <w:style w:type="character" w:styleId="Heading7Char" w:customStyle="1">
    <w:name w:val="Heading 7 Char"/>
    <w:basedOn w:val="DefaultParagraphFont"/>
    <w:link w:val="Heading7"/>
    <w:rsid w:val="00151C08"/>
    <w:rPr>
      <w:rFonts w:ascii="Arial" w:cs="Times New Roman" w:eastAsia="Times New Roman" w:hAnsi="Arial"/>
      <w:color w:val="auto"/>
      <w:sz w:val="24"/>
      <w:szCs w:val="20"/>
    </w:rPr>
  </w:style>
  <w:style w:type="character" w:styleId="Heading8Char" w:customStyle="1">
    <w:name w:val="Heading 8 Char"/>
    <w:basedOn w:val="DefaultParagraphFont"/>
    <w:link w:val="Heading8"/>
    <w:semiHidden w:val="1"/>
    <w:rsid w:val="00151C08"/>
    <w:rPr>
      <w:rFonts w:ascii="Arial" w:cs="Times New Roman" w:eastAsia="Times New Roman" w:hAnsi="Arial"/>
      <w:i w:val="1"/>
      <w:color w:val="auto"/>
      <w:sz w:val="24"/>
      <w:szCs w:val="20"/>
    </w:rPr>
  </w:style>
  <w:style w:type="character" w:styleId="Heading9Char" w:customStyle="1">
    <w:name w:val="Heading 9 Char"/>
    <w:basedOn w:val="DefaultParagraphFont"/>
    <w:link w:val="Heading9"/>
    <w:semiHidden w:val="1"/>
    <w:rsid w:val="00151C08"/>
    <w:rPr>
      <w:rFonts w:ascii="Arial" w:cs="Times New Roman" w:eastAsia="Times New Roman" w:hAnsi="Arial"/>
      <w:b w:val="1"/>
      <w:i w:val="1"/>
      <w:color w:val="auto"/>
      <w:sz w:val="18"/>
      <w:szCs w:val="20"/>
    </w:rPr>
  </w:style>
  <w:style w:type="character" w:styleId="TitleChar" w:customStyle="1">
    <w:name w:val="Title Char"/>
    <w:basedOn w:val="DefaultParagraphFont"/>
    <w:link w:val="Title"/>
    <w:rsid w:val="00151C08"/>
    <w:rPr>
      <w:rFonts w:ascii="Cambria" w:cs="Cambria" w:eastAsia="Cambria" w:hAnsi="Cambria"/>
      <w:b w:val="1"/>
      <w:sz w:val="32"/>
      <w:szCs w:val="32"/>
    </w:rPr>
  </w:style>
  <w:style w:type="character" w:styleId="BodyTextChar" w:customStyle="1">
    <w:name w:val="Body Text Char"/>
    <w:aliases w:val="bt Char"/>
    <w:basedOn w:val="DefaultParagraphFont"/>
    <w:link w:val="BodyText"/>
    <w:locked w:val="1"/>
    <w:rsid w:val="00151C08"/>
    <w:rPr>
      <w:noProof w:val="1"/>
      <w:sz w:val="24"/>
    </w:rPr>
  </w:style>
  <w:style w:type="paragraph" w:styleId="BodyText">
    <w:name w:val="Body Text"/>
    <w:aliases w:val="bt"/>
    <w:basedOn w:val="Normal"/>
    <w:link w:val="BodyTextChar"/>
    <w:unhideWhenUsed w:val="1"/>
    <w:rsid w:val="00151C08"/>
    <w:pPr>
      <w:widowControl w:val="1"/>
      <w:spacing w:after="0" w:before="120" w:line="240" w:lineRule="auto"/>
      <w:jc w:val="both"/>
    </w:pPr>
    <w:rPr>
      <w:noProof w:val="1"/>
    </w:rPr>
  </w:style>
  <w:style w:type="character" w:styleId="BodyTextChar1" w:customStyle="1">
    <w:name w:val="Body Text Char1"/>
    <w:basedOn w:val="DefaultParagraphFont"/>
    <w:uiPriority w:val="99"/>
    <w:semiHidden w:val="1"/>
    <w:rsid w:val="00151C08"/>
    <w:rPr>
      <w:sz w:val="24"/>
    </w:rPr>
  </w:style>
  <w:style w:type="paragraph" w:styleId="Bullet3" w:customStyle="1">
    <w:name w:val="Bullet3"/>
    <w:basedOn w:val="Normal"/>
    <w:rsid w:val="00151C08"/>
    <w:pPr>
      <w:widowControl w:val="1"/>
      <w:numPr>
        <w:numId w:val="1"/>
      </w:numPr>
      <w:tabs>
        <w:tab w:val="left" w:pos="1170"/>
      </w:tabs>
      <w:spacing w:after="0" w:before="120" w:line="240" w:lineRule="auto"/>
      <w:ind w:left="1170" w:hanging="450"/>
    </w:pPr>
    <w:rPr>
      <w:rFonts w:ascii="Times New Roman" w:cs="Times New Roman" w:eastAsia="Times New Roman" w:hAnsi="Times New Roman"/>
      <w:szCs w:val="20"/>
    </w:rPr>
  </w:style>
  <w:style w:type="paragraph" w:styleId="TableText" w:customStyle="1">
    <w:name w:val="Table Text"/>
    <w:basedOn w:val="Normal"/>
    <w:rsid w:val="00151C08"/>
    <w:pPr>
      <w:widowControl w:val="1"/>
      <w:spacing w:after="40" w:before="40" w:line="240" w:lineRule="auto"/>
    </w:pPr>
    <w:rPr>
      <w:rFonts w:ascii="Times New Roman" w:cs="Times New Roman" w:eastAsia="Times New Roman" w:hAnsi="Times New Roman"/>
      <w:sz w:val="22"/>
      <w:szCs w:val="20"/>
    </w:rPr>
  </w:style>
  <w:style w:type="paragraph" w:styleId="Bullet2over" w:customStyle="1">
    <w:name w:val="Bullet2 over"/>
    <w:basedOn w:val="Normal"/>
    <w:rsid w:val="00151C08"/>
    <w:pPr>
      <w:widowControl w:val="1"/>
      <w:tabs>
        <w:tab w:val="left" w:pos="36"/>
        <w:tab w:val="num" w:pos="720"/>
      </w:tabs>
      <w:spacing w:after="0" w:before="120" w:line="240" w:lineRule="auto"/>
      <w:ind w:left="720" w:hanging="720"/>
    </w:pPr>
    <w:rPr>
      <w:rFonts w:ascii="Times New Roman" w:cs="Times New Roman" w:eastAsia="Times New Roman" w:hAnsi="Times New Roman"/>
      <w:szCs w:val="20"/>
    </w:rPr>
  </w:style>
  <w:style w:type="paragraph" w:styleId="TOC3">
    <w:name w:val="toc 3"/>
    <w:basedOn w:val="Normal"/>
    <w:next w:val="Normal"/>
    <w:autoRedefine w:val="1"/>
    <w:uiPriority w:val="39"/>
    <w:unhideWhenUsed w:val="1"/>
    <w:rsid w:val="00151C08"/>
    <w:pPr>
      <w:spacing w:after="100"/>
      <w:ind w:left="480"/>
    </w:pPr>
  </w:style>
  <w:style w:type="paragraph" w:styleId="TOC7">
    <w:name w:val="toc 7"/>
    <w:basedOn w:val="Normal"/>
    <w:next w:val="Normal"/>
    <w:autoRedefine w:val="1"/>
    <w:uiPriority w:val="39"/>
    <w:unhideWhenUsed w:val="1"/>
    <w:rsid w:val="00944959"/>
    <w:pPr>
      <w:spacing w:after="100"/>
      <w:ind w:left="1440"/>
    </w:pPr>
  </w:style>
  <w:style w:type="table" w:styleId="TableGrid">
    <w:name w:val="Table Grid"/>
    <w:basedOn w:val="TableNormal"/>
    <w:uiPriority w:val="59"/>
    <w:rsid w:val="00CF3892"/>
    <w:pPr>
      <w:widowControl w:val="1"/>
      <w:spacing w:after="0" w:line="240" w:lineRule="auto"/>
    </w:pPr>
    <w:rPr>
      <w:rFonts w:cs="Times New Roman"/>
      <w:sz w:val="20"/>
      <w:szCs w:val="20"/>
    </w:r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table" w:styleId="a0" w:customStyle="1">
    <w:basedOn w:val="TableNormal"/>
    <w:tblPr>
      <w:tblStyleRowBandSize w:val="1"/>
      <w:tblStyleColBandSize w:val="1"/>
      <w:tblInd w:w="0.0" w:type="dxa"/>
      <w:tblCellMar>
        <w:top w:w="100.0" w:type="dxa"/>
        <w:left w:w="100.0" w:type="dxa"/>
        <w:bottom w:w="100.0" w:type="dxa"/>
        <w:right w:w="100.0" w:type="dxa"/>
      </w:tblCellMar>
    </w:tblPr>
  </w:style>
  <w:style w:type="table" w:styleId="a1" w:customStyle="1">
    <w:basedOn w:val="TableNormal"/>
    <w:tblPr>
      <w:tblStyleRowBandSize w:val="1"/>
      <w:tblStyleColBandSize w:val="1"/>
      <w:tblInd w:w="0.0" w:type="dxa"/>
      <w:tblCellMar>
        <w:top w:w="100.0" w:type="dxa"/>
        <w:left w:w="100.0" w:type="dxa"/>
        <w:bottom w:w="100.0" w:type="dxa"/>
        <w:right w:w="100.0" w:type="dxa"/>
      </w:tblCellMar>
    </w:tblPr>
  </w:style>
  <w:style w:type="table" w:styleId="a2" w:customStyle="1">
    <w:basedOn w:val="TableNormal"/>
    <w:tblPr>
      <w:tblStyleRowBandSize w:val="1"/>
      <w:tblStyleColBandSize w:val="1"/>
      <w:tblInd w:w="0.0" w:type="dxa"/>
      <w:tblCellMar>
        <w:top w:w="0.0" w:type="dxa"/>
        <w:left w:w="0.0" w:type="dxa"/>
        <w:bottom w:w="0.0" w:type="dxa"/>
        <w:right w:w="0.0" w:type="dxa"/>
      </w:tblCellMar>
    </w:tblPr>
  </w:style>
  <w:style w:type="table" w:styleId="a3"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4"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5"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6"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7"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8"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9"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a"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b"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c"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d"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rFonts w:ascii="Times New Roman" w:cs="Times New Roman" w:eastAsia="Times New Roman" w:hAnsi="Times New Roman"/>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rFonts w:ascii="Times New Roman" w:cs="Times New Roman" w:eastAsia="Times New Roman" w:hAnsi="Times New Roman"/>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rPr>
      <w:vertAlign w:val="baseline"/>
    </w:rPr>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rFonts w:ascii="Times New Roman" w:cs="Times New Roman" w:eastAsia="Times New Roman" w:hAnsi="Times New Roman"/>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rFonts w:ascii="Times New Roman" w:cs="Times New Roman" w:eastAsia="Times New Roman" w:hAnsi="Times New Roman"/>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rFonts w:ascii="Times New Roman" w:cs="Times New Roman" w:eastAsia="Times New Roman" w:hAnsi="Times New Roman"/>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rFonts w:ascii="Times New Roman" w:cs="Times New Roman" w:eastAsia="Times New Roman" w:hAnsi="Times New Roman"/>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rFonts w:ascii="Times New Roman" w:cs="Times New Roman" w:eastAsia="Times New Roman" w:hAnsi="Times New Roman"/>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rFonts w:ascii="Times New Roman" w:cs="Times New Roman" w:eastAsia="Times New Roman" w:hAnsi="Times New Roman"/>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rFonts w:ascii="Times New Roman" w:cs="Times New Roman" w:eastAsia="Times New Roman" w:hAnsi="Times New Roman"/>
      <w:color w:val="000000"/>
      <w:sz w:val="20"/>
      <w:szCs w:val="20"/>
      <w:vertAlign w:val="baseline"/>
    </w:rPr>
    <w:tblPr>
      <w:tblStyleRowBandSize w:val="1"/>
      <w:tblStyleColBandSize w:val="1"/>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rFonts w:ascii="Times New Roman" w:cs="Times New Roman" w:eastAsia="Times New Roman" w:hAnsi="Times New Roman"/>
      <w:color w:val="000000"/>
      <w:sz w:val="20"/>
      <w:szCs w:val="20"/>
      <w:vertAlign w:val="baseline"/>
    </w:rPr>
    <w:tblPr>
      <w:tblStyleRowBandSize w:val="1"/>
      <w:tblStyleColBandSize w:val="1"/>
    </w:tblPr>
  </w:style>
</w:styles>
</file>

<file path=word/_rels/document.xml.rels><?xml version='1.0' encoding='UTF-8' standalone='yes'?>
<Relationships xmlns="http://schemas.openxmlformats.org/package/2006/relationships"><Relationship Id="rId10"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resources.workable.com/tutorial/recruitment-policy" TargetMode="External"/><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footer" Target="footer3.xml"/><Relationship Id="rId18" Type="http://schemas.openxmlformats.org/officeDocument/2006/relationships/footer" Target="footer4.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3.xml.rels><?xml version='1.0' encoding='UTF-8' standalone='yes'?>
<Relationships xmlns="http://schemas.openxmlformats.org/package/2006/relationships"><Relationship Id="rId1" Type="http://schemas.openxmlformats.org/officeDocument/2006/relationships/image" Target="media/je6K0OmXo0VKSMs4Fv.png"/><Relationship Id="rId2" Type="http://schemas.openxmlformats.org/officeDocument/2006/relationships/image" Target="media/02jMn1uAdpmXYHQr7W.png"/><Relationship Id="rId3" Type="http://schemas.openxmlformats.org/officeDocument/2006/relationships/image" Target="media/2ylhVhWslYEYAsybq2.png"/></Relationships>
</file>

<file path=word/_rels/header1.xml.rels><?xml version='1.0' encoding='UTF-8' standalone='yes'?>
<Relationships xmlns="http://schemas.openxmlformats.org/package/2006/relationships"><Relationship Id="rId1" Type="http://schemas.openxmlformats.org/officeDocument/2006/relationships/image" Target="media/pSvq1tuXF72l2c3yev.png"/></Relationships>
</file>

<file path=word/_rels/header2.xml.rels><?xml version='1.0' encoding='UTF-8' standalone='yes'?>
<Relationships xmlns="http://schemas.openxmlformats.org/package/2006/relationships"><Relationship Id="rId1" Type="http://schemas.openxmlformats.org/officeDocument/2006/relationships/image" Target="media/XS2oVf8ywzsC44d72N.png"/><Relationship Id="rId2" Type="http://schemas.openxmlformats.org/officeDocument/2006/relationships/image" Target="media/d8sUbVsKlnbTvVufqd.png"/><Relationship Id="rId3" Type="http://schemas.openxmlformats.org/officeDocument/2006/relationships/image" Target="media/htyGn1ZJ7uOCkPKKx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WKxl6RhARpzGLRV18N4uvjlYg==">CgMxLjAyDmguOW1iOXYycGRrcTB5Mg5oLnVzb2toenhoZjh5ODIOaC5rNXBlc3E3bzlyNmUyDmguY3d5MzB0bHFnbmxrMg5oLmRuOGpzdnduM3p2NDIOaC5zMWtzbjJ0cHB6N2MyDmguZ2g3b2I3cXRpMXA2Mg5oLm01OHJ5NWszbGh0ZzIOaC4xYW15a3dic2h5YXEyDmguemZnZXZwNm8ybjFyMg5oLm14M2VkZnk2NHNvbTgAciExZGRYaTMtNHV5VXFWZHAtZVhldi1QZGI2dzQtTEJRRW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2023-02-03T05:46:00Z</dcterms:created>
  <dc:creator>BenayLap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e94840c61e951f91cd1e084f00c394d672d81606a99e7de7feaef5e327bf249a</vt:lpwstr>
  </property>
</Properties>
</file>