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DATA TRANSFER AND DISCLOSURE POLICY</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ZED-POL-09</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Control internal and external transfers or disclosures of company, customer, and personal information by employees, contractors, and approved service providers.</w:t>
      </w:r>
    </w:p>
    <w:p>
      <w:pPr>
        <w:pStyle w:val="Heading1"/>
      </w:pPr>
      <w:r>
        <w:t>2. Authorization</w:t>
      </w:r>
    </w:p>
    <w:p>
      <w:r>
        <w:t>Before a transfer, the data owner confirms the business purpose, recipient, data classification, minimum necessary scope, contractual authority, and any privacy or legal restrictions. Transfers to a new recipient, new location, or new purpose require documented approval and risk review.</w:t>
      </w:r>
    </w:p>
    <w:p>
      <w:pPr>
        <w:pStyle w:val="Heading1"/>
      </w:pPr>
      <w:r>
        <w:t>3. Secure transfer</w:t>
      </w:r>
    </w:p>
    <w:p>
      <w:r>
        <w:t>Use an organization-approved transfer channel with protection appropriate to the classification and risk. Verify recipient identity and address before sending, restrict access, use encryption where appropriate or required, and transmit secrets through a separate approved channel. Do not use personal email, unapproved storage, or unapproved external AI services for restricted information.</w:t>
      </w:r>
    </w:p>
    <w:p>
      <w:pPr>
        <w:pStyle w:val="Heading1"/>
      </w:pPr>
      <w:r>
        <w:t>4. Third-party and cross-border disclosure</w:t>
      </w:r>
    </w:p>
    <w:p>
      <w:r>
        <w:t>Before disclosure to a vendor or other recipient, confirm due diligence, written confidentiality and processing terms, permitted use, onward transfer restrictions, incident notification, retention, and deletion. Cross-border transfers require privacy/legal review for applicable restrictions and safeguards.</w:t>
      </w:r>
    </w:p>
    <w:p>
      <w:pPr>
        <w:pStyle w:val="Heading1"/>
      </w:pPr>
      <w:r>
        <w:t>5. Records and exceptions</w:t>
      </w:r>
    </w:p>
    <w:p>
      <w:r>
        <w:t>Record material disclosures, approvals, recipient, purpose, data categories, channel, and date. Report misdirected or unauthorized disclosures immediately under the incident procedure. Exceptions require documented approval from the data owner and privacy/security owner before transfer, unless emergency response procedures apply.</w:t>
      </w:r>
    </w:p>
    <w:p>
      <w:pPr>
        <w:pStyle w:val="Heading1"/>
      </w:pPr>
      <w:r>
        <w:t>6. Review</w:t>
      </w:r>
    </w:p>
    <w:p>
      <w:r>
        <w:t>The data owner and privacy/security owner review this policy annually and after material changes. Approval, effective date, and any country-specific rules must be confirmed by authorized personnel.</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PPdlLxE7DWuhFBWm9yTyWclSA==">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