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pPr>
        <w:pStyle w:val="Title"/>
        <w:jc w:val="center"/>
      </w:pPr>
      <w:r>
        <w:t>RISK ASSESSMENT POLICY</w:t>
      </w:r>
    </w:p>
    <w:tbl>
      <w:tblPr>
        <w:tblStyle w:val="TableGrid"/>
        <w:tblW w:type="auto" w:w="0"/>
        <w:tblLook w:firstColumn="1" w:firstRow="1" w:lastColumn="0" w:lastRow="0" w:noHBand="0" w:noVBand="1" w:val="04A0"/>
      </w:tblPr>
      <w:tblGrid>
        <w:gridCol w:w="4961"/>
        <w:gridCol w:w="4961"/>
      </w:tblGrid>
      <w:tr>
        <w:tc>
          <w:tcPr>
            <w:tcW w:type="dxa" w:w="4961"/>
          </w:tcPr>
          <w:p>
            <w:r>
              <w:rPr>
                <w:sz w:val="18"/>
              </w:rPr>
              <w:t>Policy Document ID</w:t>
            </w:r>
          </w:p>
        </w:tc>
        <w:tc>
          <w:tcPr>
            <w:tcW w:type="dxa" w:w="4961"/>
          </w:tcPr>
          <w:p>
            <w:r>
              <w:rPr>
                <w:sz w:val="18"/>
              </w:rPr>
              <w:t>ZED-POL-14</w:t>
            </w:r>
          </w:p>
        </w:tc>
      </w:tr>
      <w:tr>
        <w:tc>
          <w:tcPr>
            <w:tcW w:type="dxa" w:w="4961"/>
          </w:tcPr>
          <w:p>
            <w:r>
              <w:rPr>
                <w:sz w:val="18"/>
              </w:rPr>
              <w:t>Document Version</w:t>
            </w:r>
          </w:p>
        </w:tc>
        <w:tc>
          <w:tcPr>
            <w:tcW w:type="dxa" w:w="4961"/>
          </w:tcPr>
          <w:p>
            <w:r>
              <w:rPr>
                <w:sz w:val="18"/>
              </w:rPr>
              <w:t>v2.0 (Renewal 2025–2026)</w:t>
            </w:r>
          </w:p>
        </w:tc>
      </w:tr>
      <w:tr>
        <w:tc>
          <w:tcPr>
            <w:tcW w:type="dxa" w:w="4961"/>
          </w:tcPr>
          <w:p>
            <w:r>
              <w:rPr>
                <w:sz w:val="18"/>
              </w:rPr>
              <w:t>Last Review Date</w:t>
            </w:r>
          </w:p>
        </w:tc>
        <w:tc>
          <w:tcPr>
            <w:tcW w:type="dxa" w:w="4961"/>
          </w:tcPr>
          <w:p>
            <w:r>
              <w:t>October 1, 2025</w:t>
            </w:r>
          </w:p>
        </w:tc>
      </w:tr>
      <w:tr>
        <w:tc>
          <w:tcPr>
            <w:tcW w:type="dxa" w:w="4961"/>
          </w:tcPr>
          <w:p>
            <w:r>
              <w:rPr>
                <w:sz w:val="18"/>
              </w:rPr>
              <w:t>Approval Authority / Status</w:t>
            </w:r>
          </w:p>
        </w:tc>
        <w:tc>
          <w:tcPr>
            <w:tcW w:type="dxa" w:w="4961"/>
          </w:tcPr>
          <w:p>
            <w:r>
              <w:rPr>
                <w:sz w:val="18"/>
              </w:rPr>
              <w:t>Chief Information Security Officer (CISO) &amp; Management; authorized approval to be recorded</w:t>
            </w:r>
          </w:p>
        </w:tc>
      </w:tr>
      <w:tr>
        <w:tc>
          <w:tcPr>
            <w:tcW w:type="dxa" w:w="4961"/>
          </w:tcPr>
          <w:p>
            <w:r>
              <w:rPr>
                <w:sz w:val="18"/>
              </w:rPr>
              <w:t>Classification</w:t>
            </w:r>
          </w:p>
        </w:tc>
        <w:tc>
          <w:tcPr>
            <w:tcW w:type="dxa" w:w="4961"/>
          </w:tcPr>
          <w:p>
            <w:r>
              <w:rPr>
                <w:sz w:val="18"/>
              </w:rPr>
              <w:t>Confidential – Internal &amp; Authorized Auditor Access Only</w:t>
            </w:r>
          </w:p>
        </w:tc>
      </w:tr>
    </w:tbl>
    <w:p>
      <w:pPr>
        <w:pStyle w:val="Heading1"/>
      </w:pPr>
      <w:r>
        <w:t>1. Purpose and scope</w:t>
      </w:r>
    </w:p>
    <w:p>
      <w:r>
        <w:t>Establish a repeatable process to identify, assess, treat, accept, and monitor risks to the confidentiality, integrity, and availability of company and customer information and services.</w:t>
      </w:r>
    </w:p>
    <w:p>
      <w:pPr>
        <w:pStyle w:val="Heading1"/>
      </w:pPr>
      <w:r>
        <w:t>2. Assessment cycle</w:t>
      </w:r>
    </w:p>
    <w:p>
      <w:r>
        <w:t>Maintain a risk register covering relevant people, processes, facilities, technology, cloud services, vendors, privacy, fraud, and security threats. Perform a documented assessment at least annually and when a material change, incident, new service, or significant vendor change could alter risk.</w:t>
      </w:r>
    </w:p>
    <w:p>
      <w:pPr>
        <w:pStyle w:val="Heading1"/>
      </w:pPr>
      <w:r>
        <w:t>3. Assessment method</w:t>
      </w:r>
    </w:p>
    <w:p>
      <w:r>
        <w:t>For each risk, record the asset/process, threat or weakness, potential impact, likelihood, existing controls, inherent rating, residual rating, owner, treatment, and review date. Use a consistent likelihood/impact scale approved by management. Consider customer, operational, financial, legal, and privacy impacts. Link high-impact risks to relevant controls and evidence.</w:t>
      </w:r>
    </w:p>
    <w:p>
      <w:pPr>
        <w:pStyle w:val="Heading1"/>
      </w:pPr>
      <w:r>
        <w:t>4. Treatment and acceptance</w:t>
      </w:r>
    </w:p>
    <w:p>
      <w:r>
        <w:t>The risk owner proposes mitigation, transfer, avoidance, or acceptance and records target actions and due dates. Acceptance above the organization’s approved tolerance requires written approval by the designated executive. Overdue treatments are escalated and tracked. Reassess residual risk after controls or material conditions change.</w:t>
      </w:r>
    </w:p>
    <w:p>
      <w:pPr>
        <w:pStyle w:val="Heading1"/>
      </w:pPr>
      <w:r>
        <w:t>5. Governance and evidence</w:t>
      </w:r>
    </w:p>
    <w:p>
      <w:r>
        <w:t>The security/risk owner facilitates assessment; department owners provide evidence; management reviews significant risks and accepts risk within delegated authority. Retain assessment methodology, register history, meeting decisions, treatment evidence, and approvals.</w:t>
      </w:r>
    </w:p>
    <w:p>
      <w:pPr>
        <w:pStyle w:val="Heading1"/>
      </w:pPr>
      <w:r>
        <w:t>6. Review</w:t>
      </w:r>
    </w:p>
    <w:p>
      <w:r>
        <w:t>Review this policy annually. The owner must confirm the actual assessment date and approvals; this policy does not itself prove an assessment was completed.</w:t>
      </w:r>
    </w:p>
    <w:p>
      <w:pPr>
        <w:pStyle w:val="Heading1"/>
      </w:pPr>
      <w:r>
        <w:t>Document approval</w:t>
      </w:r>
    </w:p>
    <w:p>
      <w:r>
        <w:t>Approval name, role, signature/record reference, and approval date must be completed by authorized personnel after substantive review. This draft is not evidence of approval or operation during the audit period.</w:t>
      </w:r>
    </w:p>
    <w:sectPr>
      <w:headerReference xmlns:r="http://schemas.openxmlformats.org/officeDocument/2006/relationships" r:id="rId12" w:type="default"/>
      <w:headerReference xmlns:r="http://schemas.openxmlformats.org/officeDocument/2006/relationships" r:id="rId13" w:type="first"/>
      <w:footerReference xmlns:r="http://schemas.openxmlformats.org/officeDocument/2006/relationships" r:id="rId14" w:type="first"/>
      <w:footerReference xmlns:r="http://schemas.openxmlformats.org/officeDocument/2006/relationships" r:id="rId15" w:type="default"/>
      <w:pgSz w:h="16838" w:w="11906" w:orient="portrait"/>
      <w:pgMar w:header="0" w:bottom="1440" w:left="851" w:right="1133" w:top="56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Verdana"/>
  <w:font w:name="Arial Unicode M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58608B"/>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ind w:left="108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0">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1">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3.xml"/><Relationship Id="rId15" Type="http://schemas.openxmlformats.org/officeDocument/2006/relationships/footer" Target="footer4.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3.xml.rels><?xml version='1.0' encoding='UTF-8' standalone='yes'?>
<Relationships xmlns="http://schemas.openxmlformats.org/package/2006/relationships"><Relationship Id="rId1" Type="http://schemas.openxmlformats.org/officeDocument/2006/relationships/image" Target="media/je6K0OmXo0VKSMs4Fv.png"/><Relationship Id="rId2" Type="http://schemas.openxmlformats.org/officeDocument/2006/relationships/image" Target="media/02jMn1uAdpmXYHQr7W.png"/><Relationship Id="rId3" Type="http://schemas.openxmlformats.org/officeDocument/2006/relationships/image" Target="media/2ylhVhWslYEYAsybq2.png"/></Relationships>
</file>

<file path=word/_rels/header1.xml.rels><?xml version='1.0' encoding='UTF-8' standalone='yes'?>
<Relationships xmlns="http://schemas.openxmlformats.org/package/2006/relationships"><Relationship Id="rId1" Type="http://schemas.openxmlformats.org/officeDocument/2006/relationships/image" Target="media/pSvq1tuXF72l2c3yev.png"/></Relationships>
</file>

<file path=word/_rels/header2.xml.rels><?xml version='1.0' encoding='UTF-8' standalone='yes'?>
<Relationships xmlns="http://schemas.openxmlformats.org/package/2006/relationships"><Relationship Id="rId1" Type="http://schemas.openxmlformats.org/officeDocument/2006/relationships/image" Target="media/XS2oVf8ywzsC44d72N.png"/><Relationship Id="rId2" Type="http://schemas.openxmlformats.org/officeDocument/2006/relationships/image" Target="media/d8sUbVsKlnbTvVufqd.png"/><Relationship Id="rId3" Type="http://schemas.openxmlformats.org/officeDocument/2006/relationships/image" Target="media/htyGn1ZJ7uOCkPKKx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t2gbDIBk+pUy71QwDyTaYPPi3Q==">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