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jc w:val="center"/>
      </w:pPr>
      <w:r>
        <w:t>INCIDENT MANAGEMENT POLICY AND RESPONSE PROCEDURE</w:t>
      </w:r>
    </w:p>
    <w:tbl>
      <w:tblPr>
        <w:tblStyle w:val="TableGrid"/>
        <w:tblW w:type="auto" w:w="0"/>
        <w:tblLook w:firstColumn="1" w:firstRow="1" w:lastColumn="0" w:lastRow="0" w:noHBand="0" w:noVBand="1" w:val="04A0"/>
      </w:tblPr>
      <w:tblGrid>
        <w:gridCol w:w="4961"/>
        <w:gridCol w:w="4961"/>
      </w:tblGrid>
      <w:tr>
        <w:tc>
          <w:tcPr>
            <w:tcW w:type="dxa" w:w="4961"/>
          </w:tcPr>
          <w:p>
            <w:r>
              <w:rPr>
                <w:sz w:val="18"/>
              </w:rPr>
              <w:t>Policy Document ID</w:t>
            </w:r>
          </w:p>
        </w:tc>
        <w:tc>
          <w:tcPr>
            <w:tcW w:type="dxa" w:w="4961"/>
          </w:tcPr>
          <w:p>
            <w:r>
              <w:rPr>
                <w:sz w:val="18"/>
              </w:rPr>
              <w:t>ZED-POL-18</w:t>
            </w:r>
          </w:p>
        </w:tc>
      </w:tr>
      <w:tr>
        <w:tc>
          <w:tcPr>
            <w:tcW w:type="dxa" w:w="4961"/>
          </w:tcPr>
          <w:p>
            <w:r>
              <w:rPr>
                <w:sz w:val="18"/>
              </w:rPr>
              <w:t>Document Version</w:t>
            </w:r>
          </w:p>
        </w:tc>
        <w:tc>
          <w:tcPr>
            <w:tcW w:type="dxa" w:w="4961"/>
          </w:tcPr>
          <w:p>
            <w:r>
              <w:rPr>
                <w:sz w:val="18"/>
              </w:rPr>
              <w:t>v2.0 (Renewal 2025–2026)</w:t>
            </w:r>
          </w:p>
        </w:tc>
      </w:tr>
      <w:tr>
        <w:tc>
          <w:tcPr>
            <w:tcW w:type="dxa" w:w="4961"/>
          </w:tcPr>
          <w:p>
            <w:r>
              <w:rPr>
                <w:sz w:val="18"/>
              </w:rPr>
              <w:t>Last Review Date</w:t>
            </w:r>
          </w:p>
        </w:tc>
        <w:tc>
          <w:tcPr>
            <w:tcW w:type="dxa" w:w="4961"/>
          </w:tcPr>
          <w:p>
            <w:r>
              <w:t>October 1, 2025</w:t>
            </w:r>
          </w:p>
        </w:tc>
      </w:tr>
      <w:tr>
        <w:tc>
          <w:tcPr>
            <w:tcW w:type="dxa" w:w="4961"/>
          </w:tcPr>
          <w:p>
            <w:r>
              <w:rPr>
                <w:sz w:val="18"/>
              </w:rPr>
              <w:t>Approval Authority / Status</w:t>
            </w:r>
          </w:p>
        </w:tc>
        <w:tc>
          <w:tcPr>
            <w:tcW w:type="dxa" w:w="4961"/>
          </w:tcPr>
          <w:p>
            <w:r>
              <w:rPr>
                <w:sz w:val="18"/>
              </w:rPr>
              <w:t>Chief Information Security Officer (CISO) &amp; Management; authorized approval to be recorded</w:t>
            </w:r>
          </w:p>
        </w:tc>
      </w:tr>
      <w:tr>
        <w:tc>
          <w:tcPr>
            <w:tcW w:type="dxa" w:w="4961"/>
          </w:tcPr>
          <w:p>
            <w:r>
              <w:rPr>
                <w:sz w:val="18"/>
              </w:rPr>
              <w:t>Classification</w:t>
            </w:r>
          </w:p>
        </w:tc>
        <w:tc>
          <w:tcPr>
            <w:tcW w:type="dxa" w:w="4961"/>
          </w:tcPr>
          <w:p>
            <w:r>
              <w:rPr>
                <w:sz w:val="18"/>
              </w:rPr>
              <w:t>Confidential – Internal &amp; Authorized Auditor Access Only</w:t>
            </w:r>
          </w:p>
        </w:tc>
      </w:tr>
    </w:tbl>
    <w:p>
      <w:pPr>
        <w:pStyle w:val="Heading1"/>
      </w:pPr>
      <w:r>
        <w:t>1. Purpose and scope</w:t>
      </w:r>
    </w:p>
    <w:p>
      <w:r>
        <w:t>Provide a consistent process for reporting, assessing, containing, investigating, resolving, and learning from security, privacy, availability, and operational incidents affecting company or customer services.</w:t>
      </w:r>
    </w:p>
    <w:p>
      <w:pPr>
        <w:pStyle w:val="Heading1"/>
      </w:pPr>
      <w:r>
        <w:t>2. Reporting and triage</w:t>
      </w:r>
    </w:p>
    <w:p>
      <w:r>
        <w:t>All personnel must promptly report suspected incidents through the designated channel. The responder records the report time, reporter, affected service/data, observed facts, and immediate actions. The incident lead assigns severity based on actual and potential impact, scope, sensitivity, service disruption, and legal/contractual consequences.</w:t>
      </w:r>
    </w:p>
    <w:p>
      <w:pPr>
        <w:pStyle w:val="Heading1"/>
      </w:pPr>
      <w:r>
        <w:t>3. Response</w:t>
      </w:r>
    </w:p>
    <w:p>
      <w:r>
        <w:t>The incident lead coordinates containment, eradication, recovery, evidence preservation, and business continuity. Use authorized technical actions, preserve relevant logs and chain of custody where needed, and document decisions. Notify security leadership and affected service owners based on severity. Engage privacy, legal, HR, vendors, insurers, or law enforcement when authorized and appropriate.</w:t>
      </w:r>
    </w:p>
    <w:p>
      <w:pPr>
        <w:pStyle w:val="Heading1"/>
      </w:pPr>
      <w:r>
        <w:t>4. External and regulatory communications</w:t>
      </w:r>
    </w:p>
    <w:p>
      <w:r>
        <w:t>Only authorized personnel may communicate externally. Assess customer, regulator, and individual notification obligations promptly against applicable law and contract with legal/privacy review. Record the decision, approver, recipient, content, and time. Do not apply a fixed notification deadline unless the specific law or contract requires it.</w:t>
      </w:r>
    </w:p>
    <w:p>
      <w:pPr>
        <w:pStyle w:val="Heading1"/>
      </w:pPr>
      <w:r>
        <w:t>5. Recovery and closure</w:t>
      </w:r>
    </w:p>
    <w:p>
      <w:r>
        <w:t>Validate restoration and security before return to normal operations. Record impact, root cause, actions, recovery evidence, and lessons learned. Assign corrective actions, owners, and target dates; track them to closure. Preserve incident records under the approved retention schedule.</w:t>
      </w:r>
    </w:p>
    <w:p>
      <w:pPr>
        <w:pStyle w:val="Heading1"/>
      </w:pPr>
      <w:r>
        <w:t>6. Preparedness and governance</w:t>
      </w:r>
    </w:p>
    <w:p>
      <w:r>
        <w:t>Management assigns an incident lead and alternates and keeps contact information current. The security owner maintains response procedures and conducts exercises on an approved schedule. This document does not prove that an incident or exercise occurred.</w:t>
      </w:r>
    </w:p>
    <w:p>
      <w:pPr>
        <w:pStyle w:val="Heading1"/>
      </w:pPr>
      <w:r>
        <w:t>7. Review</w:t>
      </w:r>
    </w:p>
    <w:p>
      <w:r>
        <w:t>Review after material incidents, exercises, or service changes and at least annually. Record actual approval and effective date.</w:t>
      </w:r>
    </w:p>
    <w:p>
      <w:pPr>
        <w:pStyle w:val="Heading1"/>
      </w:pPr>
      <w:r>
        <w:t>Document approval</w:t>
      </w:r>
    </w:p>
    <w:p>
      <w:r>
        <w:t>Approval name, role, signature/record reference, and approval date must be completed by authorized personnel after substantive review. This draft is not evidence of approval or operation during the audit period.</w:t>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NiRT1XUcrvHZ5idPEL2dt6wbYQ==">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4AHIhMWptTzZXeEN3UzdZSGswbHg1enZESFZwMS1TeXF4bV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