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pPr>
        <w:pStyle w:val="Title"/>
        <w:jc w:val="center"/>
      </w:pPr>
      <w:r>
        <w:t>SECURE SDLC AND INFRASTRUCTURE DEPLOYMENT PROCEDURE</w:t>
      </w:r>
    </w:p>
    <w:tbl>
      <w:tblPr>
        <w:tblStyle w:val="TableGrid"/>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ZED-POL-19</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pPr>
        <w:pStyle w:val="Heading1"/>
      </w:pPr>
      <w:r>
        <w:t>1. Purpose and scope</w:t>
      </w:r>
    </w:p>
    <w:p>
      <w:r>
        <w:t>Integrate security into design, development, testing, approval, deployment, and maintenance of software and infrastructure changes. Applies to employees and suppliers who develop or administer company services.</w:t>
      </w:r>
    </w:p>
    <w:p>
      <w:pPr>
        <w:pStyle w:val="Heading1"/>
      </w:pPr>
      <w:r>
        <w:t>2. Requirements and design</w:t>
      </w:r>
    </w:p>
    <w:p>
      <w:r>
        <w:t>Record business, security, privacy, availability, and data-handling requirements before implementation. Review architecture and threat scenarios for material changes. Use approved repositories and restrict source-code and production access by role.</w:t>
      </w:r>
    </w:p>
    <w:p>
      <w:pPr>
        <w:pStyle w:val="Heading1"/>
      </w:pPr>
      <w:r>
        <w:t>3. Build and review</w:t>
      </w:r>
    </w:p>
    <w:p>
      <w:r>
        <w:t>Changes must be traceable to an authorized work item. Use peer review by a person other than the author where practicable. Check code, dependencies, secrets, and infrastructure configuration using approved review/testing controls appropriate to risk. Do not commit credentials or customer data to source control.</w:t>
      </w:r>
    </w:p>
    <w:p>
      <w:pPr>
        <w:pStyle w:val="Heading1"/>
      </w:pPr>
      <w:r>
        <w:t>4. Testing and approval</w:t>
      </w:r>
    </w:p>
    <w:p>
      <w:r>
        <w:t>Test changes in a non-production environment where available. Record test results, defects, security findings, and resolution or documented risk acceptance. An authorized reviewer approves a change before production deployment. Emergency changes follow the emergency change procedure and receive documented retrospective review.</w:t>
      </w:r>
    </w:p>
    <w:p>
      <w:pPr>
        <w:pStyle w:val="Heading1"/>
      </w:pPr>
      <w:r>
        <w:t>5. Deployment and rollback</w:t>
      </w:r>
    </w:p>
    <w:p>
      <w:r>
        <w:t>Deploy using authorized accounts and controlled procedures. Maintain separation between development and production duties where practicable. Record version, approver, deployment time, outcome, and rollback or recovery actions. Verify service health and security after deployment.</w:t>
      </w:r>
    </w:p>
    <w:p>
      <w:pPr>
        <w:pStyle w:val="Heading1"/>
      </w:pPr>
      <w:r>
        <w:t>6. Records and review</w:t>
      </w:r>
    </w:p>
    <w:p>
      <w:r>
        <w:t>Retain requirements, reviews, tests, approvals, release records, exceptions, and security findings. The engineering/security owner reviews this procedure annually. Tools and pipeline-specific claims must match the actual environment.</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widowControl w:val="0"/>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qFormat w:val="1"/>
    <w:rsid w:val="00482811"/>
  </w:style>
  <w:style w:type="paragraph" w:styleId="Heading1">
    <w:name w:val="heading 1"/>
    <w:aliases w:val="1 heading"/>
    <w:basedOn w:val="Normal1"/>
    <w:next w:val="Normal1"/>
    <w:uiPriority w:val="9"/>
    <w:qFormat w:val="1"/>
    <w:rsid w:val="0058608B"/>
    <w:pPr>
      <w:keepNext w:val="1"/>
      <w:spacing w:after="60" w:before="240"/>
      <w:outlineLvl w:val="0"/>
    </w:pPr>
    <w:rPr>
      <w:rFonts w:ascii="Cambria" w:cs="Cambria" w:eastAsia="Cambria" w:hAnsi="Cambria"/>
      <w:b w:val="1"/>
      <w:sz w:val="32"/>
      <w:szCs w:val="32"/>
    </w:rPr>
  </w:style>
  <w:style w:type="paragraph" w:styleId="Heading2">
    <w:name w:val="heading 2"/>
    <w:basedOn w:val="Normal1"/>
    <w:next w:val="Normal1"/>
    <w:uiPriority w:val="9"/>
    <w:semiHidden w:val="1"/>
    <w:unhideWhenUsed w:val="1"/>
    <w:qFormat w:val="1"/>
    <w:rsid w:val="0058608B"/>
    <w:pPr>
      <w:keepNext w:val="1"/>
      <w:spacing w:after="60" w:before="240"/>
      <w:outlineLvl w:val="1"/>
    </w:pPr>
    <w:rPr>
      <w:rFonts w:ascii="Cambria" w:cs="Cambria" w:eastAsia="Cambria" w:hAnsi="Cambria"/>
      <w:b w:val="1"/>
      <w:i w:val="1"/>
      <w:sz w:val="28"/>
      <w:szCs w:val="28"/>
    </w:rPr>
  </w:style>
  <w:style w:type="paragraph" w:styleId="Heading3">
    <w:name w:val="heading 3"/>
    <w:basedOn w:val="Normal1"/>
    <w:next w:val="Normal1"/>
    <w:uiPriority w:val="9"/>
    <w:semiHidden w:val="1"/>
    <w:unhideWhenUsed w:val="1"/>
    <w:qFormat w:val="1"/>
    <w:rsid w:val="0058608B"/>
    <w:pPr>
      <w:keepNext w:val="1"/>
      <w:keepLines w:val="1"/>
      <w:spacing w:after="80" w:before="280"/>
      <w:outlineLvl w:val="2"/>
    </w:pPr>
    <w:rPr>
      <w:b w:val="1"/>
      <w:sz w:val="28"/>
      <w:szCs w:val="28"/>
    </w:rPr>
  </w:style>
  <w:style w:type="paragraph" w:styleId="Heading4">
    <w:name w:val="heading 4"/>
    <w:basedOn w:val="Normal1"/>
    <w:next w:val="Normal1"/>
    <w:uiPriority w:val="9"/>
    <w:semiHidden w:val="1"/>
    <w:unhideWhenUsed w:val="1"/>
    <w:qFormat w:val="1"/>
    <w:rsid w:val="0058608B"/>
    <w:pPr>
      <w:keepNext w:val="1"/>
      <w:keepLines w:val="1"/>
      <w:spacing w:after="40" w:before="240"/>
      <w:outlineLvl w:val="3"/>
    </w:pPr>
    <w:rPr>
      <w:b w:val="1"/>
    </w:rPr>
  </w:style>
  <w:style w:type="paragraph" w:styleId="Heading5">
    <w:name w:val="heading 5"/>
    <w:basedOn w:val="Normal1"/>
    <w:next w:val="Normal1"/>
    <w:uiPriority w:val="9"/>
    <w:semiHidden w:val="1"/>
    <w:unhideWhenUsed w:val="1"/>
    <w:qFormat w:val="1"/>
    <w:rsid w:val="0058608B"/>
    <w:pPr>
      <w:keepNext w:val="1"/>
      <w:keepLines w:val="1"/>
      <w:spacing w:after="40" w:before="220"/>
      <w:outlineLvl w:val="4"/>
    </w:pPr>
    <w:rPr>
      <w:b w:val="1"/>
    </w:rPr>
  </w:style>
  <w:style w:type="paragraph" w:styleId="Heading6">
    <w:name w:val="heading 6"/>
    <w:basedOn w:val="Normal1"/>
    <w:next w:val="Normal1"/>
    <w:uiPriority w:val="9"/>
    <w:semiHidden w:val="1"/>
    <w:unhideWhenUsed w:val="1"/>
    <w:qFormat w:val="1"/>
    <w:rsid w:val="0058608B"/>
    <w:pPr>
      <w:keepNext w:val="1"/>
      <w:keepLines w:val="1"/>
      <w:spacing w:after="40" w:before="200"/>
      <w:outlineLvl w:val="5"/>
    </w:pPr>
    <w:rPr>
      <w:b w:val="1"/>
      <w:sz w:val="20"/>
      <w:szCs w:val="20"/>
    </w:rPr>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58608B"/>
    <w:pPr>
      <w:spacing w:after="60" w:before="240"/>
      <w:jc w:val="center"/>
    </w:pPr>
    <w:rPr>
      <w:rFonts w:ascii="Cambria" w:cs="Cambria" w:eastAsia="Cambria" w:hAnsi="Cambria"/>
      <w:b w:val="1"/>
      <w:sz w:val="32"/>
      <w:szCs w:val="32"/>
    </w:rPr>
  </w:style>
  <w:style w:type="paragraph" w:styleId="Normal1" w:customStyle="1">
    <w:name w:val="Normal1"/>
    <w:rsid w:val="0058608B"/>
  </w:style>
  <w:style w:type="paragraph" w:styleId="Subtitle">
    <w:name w:val="Subtitle"/>
    <w:basedOn w:val="Normal"/>
    <w:next w:val="Normal"/>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8">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9">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10">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nr7lAHVHwbqvUrmuPyq/fuHwrg==">CgMxLjAyCWguMzBqMHpsbDIOaC5kZjBobjRoaHhiNjIyDmguZDNtb3c4anhoamY2Mg5oLjlhODN1aXN2c2dyYTIOaC43OGc1aW45OXZsbHgyDmguZzJmN3RxdXZkamdsMg5oLmc5bmVsbmR6bDVyNDIOaC5zZTc5bmZpMHJzMmIyDmguZjhjazA5NGsxYzF5Mg5oLnVkYjg1OXo1d3EyejIOaC5ydG1kaWpxbTUwZnUyDmguajBmcnM5Nm9yajR4Mg5oLjIzbzYzZDh6amF5dTIOaC4xNHN0ZG1xaGZ2YXcyDmguZHI1eGF1NzBmZzN6Mg5oLm92Znl0ZGVmb3B0bjIOaC5wY3VqanJhajc1a2wyDmgudjF2YjV6aXRoaTBzMg5oLjl2b2lzeTFxc2M4NjIOaC5xd3E1aXV0bTNlNmsyDmgucHEyYWtvZ3VpNGs0Mg5oLjhwcTVpeTh2eDVsNzIOaC5mOXc3eXhqbjRwYjYyDmguMnh5MTFod3U3c2JtMg5oLnc0NDlyMWo3NzVjODgAciExY29CUktwX2ZPc05jS0VUYzc2WUhTWXFZbUw2U2R0VG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