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PASSWORD AND AUTHENTICATOR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sz w:val="18"/>
              </w:rPr>
              <w:t>Policy Document ID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ZED-POL-21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v2.0 (Renewal 2025–2026)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Last Review Date</w:t>
            </w:r>
          </w:p>
        </w:tc>
        <w:tc>
          <w:tcPr>
            <w:tcW w:type="dxa" w:w="5128"/>
          </w:tcPr>
          <w:p>
            <w:r>
              <w:t>October 1, 2025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Approval Authority / Status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Chief Information Security Officer (CISO) &amp; Management; authorized approval to be recorded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Confidential – Internal &amp; Authorized Auditor Access Only</w:t>
            </w:r>
          </w:p>
        </w:tc>
      </w:tr>
    </w:tbl>
    <w:p>
      <w:pPr>
        <w:pStyle w:val="Heading1"/>
      </w:pPr>
      <w:r>
        <w:t>1. Purpose and scope</w:t>
      </w:r>
    </w:p>
    <w:p>
      <w:r>
        <w:t>Protect passwords, API keys, tokens, certificates, and other authenticators used to access company, customer, and cloud systems.</w:t>
      </w:r>
    </w:p>
    <w:p>
      <w:pPr>
        <w:pStyle w:val="Heading1"/>
      </w:pPr>
      <w:r>
        <w:t>2. User credentials</w:t>
      </w:r>
    </w:p>
    <w:p>
      <w:r>
        <w:t>Each user must use an individual account and a unique, sufficiently strong password for each service. Store passwords only in an organization-approved password manager or identity platform. Do not share credentials, reuse company passwords on personal services, disclose credentials in messages, or write them in unsecured locations.</w:t>
      </w:r>
    </w:p>
    <w:p>
      <w:pPr>
        <w:pStyle w:val="Heading1"/>
      </w:pPr>
      <w:r>
        <w:t>3. Authentication controls</w:t>
      </w:r>
    </w:p>
    <w:p>
      <w:r>
        <w:t>Enable multi-factor authentication for privileged, remote, and sensitive access where supported. Use phishing-resistant methods where available and required by risk. Temporary credentials must be time-limited and changed at first use. Disable or revoke credentials promptly when access is no longer authorized.</w:t>
      </w:r>
    </w:p>
    <w:p>
      <w:pPr>
        <w:pStyle w:val="Heading1"/>
      </w:pPr>
      <w:r>
        <w:t>4. Secrets and service accounts</w:t>
      </w:r>
    </w:p>
    <w:p>
      <w:r>
        <w:t>Store application secrets in an approved secrets-management mechanism, restrict access, monitor use, and rotate or revoke them when compromise is suspected or exposure occurs. Do not hard-code secrets in source code, configuration files, or tickets.</w:t>
      </w:r>
    </w:p>
    <w:p>
      <w:pPr>
        <w:pStyle w:val="Heading1"/>
      </w:pPr>
      <w:r>
        <w:t>5. Compromise and recovery</w:t>
      </w:r>
    </w:p>
    <w:p>
      <w:r>
        <w:t>Users must report suspected credential compromise immediately. IT/security disables or resets affected credentials, reviews related activity, and documents recovery. Identity verification is required before password reset or account recovery.</w:t>
      </w:r>
    </w:p>
    <w:p>
      <w:pPr>
        <w:pStyle w:val="Heading1"/>
      </w:pPr>
      <w:r>
        <w:t>6. Review</w:t>
      </w:r>
    </w:p>
    <w:p>
      <w:r>
        <w:t>IT/security configures authentication controls, reviews exceptions, and retains access/authentication evidence. Avoid arbitrary password rotation unless required by risk, compromise, or applicable obligation. Management approves this policy and exceptions.</w:t>
      </w:r>
    </w:p>
    <w:p>
      <w:pPr>
        <w:pStyle w:val="Heading1"/>
      </w:pPr>
      <w:r>
        <w:t>Document approval</w:t>
      </w:r>
    </w:p>
    <w:p>
      <w:r>
        <w:t>Approval name, role, signature/record reference, and approval date must be completed by authorized personnel after substantive review. This draft is not evidence of approval or operation during the audit period.</w:t>
      </w:r>
    </w:p>
    <w:sectPr w:rsidR="00FC693F" w:rsidRPr="0006063C" w:rsidSect="00034616"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pgSz w:w="12240" w:h="15840"/>
      <w:pgMar w:header="0" w:bottom="1440" w:left="851" w:right="1133" w:top="567" w:foo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je6K0OmXo0VKSMs4Fv.png"/><Relationship Id="rId2" Type="http://schemas.openxmlformats.org/officeDocument/2006/relationships/image" Target="media/02jMn1uAdpmXYHQr7W.png"/><Relationship Id="rId3" Type="http://schemas.openxmlformats.org/officeDocument/2006/relationships/image" Target="media/2ylhVhWslYEYAsybq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pSvq1tuXF72l2c3yev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XS2oVf8ywzsC44d72N.png"/><Relationship Id="rId2" Type="http://schemas.openxmlformats.org/officeDocument/2006/relationships/image" Target="media/d8sUbVsKlnbTvVufqd.png"/><Relationship Id="rId3" Type="http://schemas.openxmlformats.org/officeDocument/2006/relationships/image" Target="media/htyGn1ZJ7uOCkPKKx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