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INSTALLATION AND LICENSING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sz w:val="18"/>
              </w:rPr>
              <w:t>Policy Document ID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ZED-POL-26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v2.0 (Renewal 2025–2026)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Last Review Date</w:t>
            </w:r>
          </w:p>
        </w:tc>
        <w:tc>
          <w:tcPr>
            <w:tcW w:type="dxa" w:w="5128"/>
          </w:tcPr>
          <w:p>
            <w:r>
              <w:t>October 1, 2025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Approval Authority / Status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Chief Information Security Officer (CISO) &amp; Management; authorized approval to be recorded</w:t>
            </w:r>
          </w:p>
        </w:tc>
      </w:tr>
      <w:tr>
        <w:tc>
          <w:tcPr>
            <w:tcW w:type="dxa" w:w="5128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5128"/>
          </w:tcPr>
          <w:p>
            <w:r>
              <w:rPr>
                <w:sz w:val="18"/>
              </w:rPr>
              <w:t>Confidential – Internal &amp; Authorized Auditor Access Only</w:t>
            </w:r>
          </w:p>
        </w:tc>
      </w:tr>
    </w:tbl>
    <w:p>
      <w:pPr>
        <w:pStyle w:val="Heading1"/>
      </w:pPr>
      <w:r>
        <w:t>1. Purpose and scope</w:t>
      </w:r>
    </w:p>
    <w:p>
      <w:r>
        <w:t>Ensure software used on company endpoints, servers, and cloud services is authorized, secure, supported, and properly licensed.</w:t>
      </w:r>
    </w:p>
    <w:p>
      <w:pPr>
        <w:pStyle w:val="Heading1"/>
      </w:pPr>
      <w:r>
        <w:t>2. Request and approval</w:t>
      </w:r>
    </w:p>
    <w:p>
      <w:r>
        <w:t>Before installation or subscription, the requester documents business purpose, owner, users, data handled, privileges, vendor, cost, and licensing terms. IT/security reviews compatibility, security, privacy, and support risks. The designated approver authorizes purchase and installation before use.</w:t>
      </w:r>
    </w:p>
    <w:p>
      <w:pPr>
        <w:pStyle w:val="Heading1"/>
      </w:pPr>
      <w:r>
        <w:t>3. Installation and maintenance</w:t>
      </w:r>
    </w:p>
    <w:p>
      <w:r>
        <w:t>Install software only from an approved source using authorized administrator processes. Record software, version, asset/service, owner, license or subscription, and approval. Apply security updates under the change process. Remove unsupported, unauthorized, or unused software and revoke related access.</w:t>
      </w:r>
    </w:p>
    <w:p>
      <w:pPr>
        <w:pStyle w:val="Heading1"/>
      </w:pPr>
      <w:r>
        <w:t>4. License and third-party terms</w:t>
      </w:r>
    </w:p>
    <w:p>
      <w:r>
        <w:t>Use software only within its license and contract. Retain purchase, renewal, entitlement, and termination records. Review open-source and third-party components for license and security obligations before distribution or production use.</w:t>
      </w:r>
    </w:p>
    <w:p>
      <w:pPr>
        <w:pStyle w:val="Heading1"/>
      </w:pPr>
      <w:r>
        <w:t>5. Monitoring and exceptions</w:t>
      </w:r>
    </w:p>
    <w:p>
      <w:r>
        <w:t>IT periodically reconciles software inventory to observed assets and subscriptions and investigates unauthorized installations. Exceptions require documented approval, time limit, compensating safeguards, and owner.</w:t>
      </w:r>
    </w:p>
    <w:p>
      <w:pPr>
        <w:pStyle w:val="Heading1"/>
      </w:pPr>
      <w:r>
        <w:t>6. Review</w:t>
      </w:r>
    </w:p>
    <w:p>
      <w:r>
        <w:t>IT/security and procurement review this policy annually and after material changes. Do not claim a specific inventory tool or monitoring cadence unless confirmed.</w:t>
      </w:r>
    </w:p>
    <w:p>
      <w:pPr>
        <w:pStyle w:val="Heading1"/>
      </w:pPr>
      <w:r>
        <w:t>Document approval</w:t>
      </w:r>
    </w:p>
    <w:p>
      <w:r>
        <w:t>Approval name, role, signature/record reference, and approval date must be completed by authorized personnel after substantive review. This draft is not evidence of approval or operation during the audit period.</w:t>
      </w:r>
    </w:p>
    <w:sectPr w:rsidR="00FC693F" w:rsidRPr="0006063C" w:rsidSect="00034616"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pgSz w:w="12240" w:h="15840"/>
      <w:pgMar w:header="0" w:bottom="1440" w:left="851" w:right="1133" w:top="567" w:foo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je6K0OmXo0VKSMs4Fv.png"/><Relationship Id="rId2" Type="http://schemas.openxmlformats.org/officeDocument/2006/relationships/image" Target="media/02jMn1uAdpmXYHQr7W.png"/><Relationship Id="rId3" Type="http://schemas.openxmlformats.org/officeDocument/2006/relationships/image" Target="media/2ylhVhWslYEYAsybq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pSvq1tuXF72l2c3yev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XS2oVf8ywzsC44d72N.png"/><Relationship Id="rId2" Type="http://schemas.openxmlformats.org/officeDocument/2006/relationships/image" Target="media/d8sUbVsKlnbTvVufqd.png"/><Relationship Id="rId3" Type="http://schemas.openxmlformats.org/officeDocument/2006/relationships/image" Target="media/htyGn1ZJ7uOCkPKKx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