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MALWARE PREVENTION AND RESPONSE POLICY</w:t>
      </w:r>
    </w:p>
    <w:tbl>
      <w:tblPr>
        <w:tblStyle w:val="TableGrid"/>
        <w:tblW w:type="auto" w:w="0"/>
        <w:tblLook w:firstColumn="1" w:firstRow="1" w:lastColumn="0" w:lastRow="0" w:noHBand="0" w:noVBand="1" w:val="04A0"/>
      </w:tblPr>
      <w:tblGrid>
        <w:gridCol w:w="5128"/>
        <w:gridCol w:w="5128"/>
      </w:tblGrid>
      <w:tr>
        <w:tc>
          <w:tcPr>
            <w:tcW w:type="dxa" w:w="5128"/>
          </w:tcPr>
          <w:p>
            <w:r>
              <w:rPr>
                <w:sz w:val="18"/>
              </w:rPr>
              <w:t>Policy Document ID</w:t>
            </w:r>
          </w:p>
        </w:tc>
        <w:tc>
          <w:tcPr>
            <w:tcW w:type="dxa" w:w="5128"/>
          </w:tcPr>
          <w:p>
            <w:r>
              <w:rPr>
                <w:sz w:val="18"/>
              </w:rPr>
              <w:t>ZED-POL-27</w:t>
            </w:r>
          </w:p>
        </w:tc>
      </w:tr>
      <w:tr>
        <w:tc>
          <w:tcPr>
            <w:tcW w:type="dxa" w:w="5128"/>
          </w:tcPr>
          <w:p>
            <w:r>
              <w:rPr>
                <w:sz w:val="18"/>
              </w:rPr>
              <w:t>Document Version</w:t>
            </w:r>
          </w:p>
        </w:tc>
        <w:tc>
          <w:tcPr>
            <w:tcW w:type="dxa" w:w="5128"/>
          </w:tcPr>
          <w:p>
            <w:r>
              <w:rPr>
                <w:sz w:val="18"/>
              </w:rPr>
              <w:t>v2.0 (Renewal 2025–2026)</w:t>
            </w:r>
          </w:p>
        </w:tc>
      </w:tr>
      <w:tr>
        <w:tc>
          <w:tcPr>
            <w:tcW w:type="dxa" w:w="5128"/>
          </w:tcPr>
          <w:p>
            <w:r>
              <w:rPr>
                <w:sz w:val="18"/>
              </w:rPr>
              <w:t>Last Review Date</w:t>
            </w:r>
          </w:p>
        </w:tc>
        <w:tc>
          <w:tcPr>
            <w:tcW w:type="dxa" w:w="5128"/>
          </w:tcPr>
          <w:p>
            <w:r>
              <w:t>October 1, 2025</w:t>
            </w:r>
          </w:p>
        </w:tc>
      </w:tr>
      <w:tr>
        <w:tc>
          <w:tcPr>
            <w:tcW w:type="dxa" w:w="5128"/>
          </w:tcPr>
          <w:p>
            <w:r>
              <w:rPr>
                <w:sz w:val="18"/>
              </w:rPr>
              <w:t>Approval Authority / Status</w:t>
            </w:r>
          </w:p>
        </w:tc>
        <w:tc>
          <w:tcPr>
            <w:tcW w:type="dxa" w:w="5128"/>
          </w:tcPr>
          <w:p>
            <w:r>
              <w:rPr>
                <w:sz w:val="18"/>
              </w:rPr>
              <w:t>Chief Information Security Officer (CISO) &amp; Management; authorized approval to be recorded</w:t>
            </w:r>
          </w:p>
        </w:tc>
      </w:tr>
      <w:tr>
        <w:tc>
          <w:tcPr>
            <w:tcW w:type="dxa" w:w="5128"/>
          </w:tcPr>
          <w:p>
            <w:r>
              <w:rPr>
                <w:sz w:val="18"/>
              </w:rPr>
              <w:t>Classification</w:t>
            </w:r>
          </w:p>
        </w:tc>
        <w:tc>
          <w:tcPr>
            <w:tcW w:type="dxa" w:w="5128"/>
          </w:tcPr>
          <w:p>
            <w:r>
              <w:rPr>
                <w:sz w:val="18"/>
              </w:rPr>
              <w:t>Confidential – Internal &amp; Authorized Auditor Access Only</w:t>
            </w:r>
          </w:p>
        </w:tc>
      </w:tr>
    </w:tbl>
    <w:p>
      <w:pPr>
        <w:pStyle w:val="Heading1"/>
      </w:pPr>
      <w:r>
        <w:t>1. Purpose and scope</w:t>
      </w:r>
    </w:p>
    <w:p>
      <w:r>
        <w:t>Reduce the risk and impact of malicious software on company endpoints, servers, cloud workloads, and information handled by authorized users.</w:t>
      </w:r>
    </w:p>
    <w:p>
      <w:pPr>
        <w:pStyle w:val="Heading1"/>
      </w:pPr>
      <w:r>
        <w:t>2. Preventive controls</w:t>
      </w:r>
    </w:p>
    <w:p>
      <w:r>
        <w:t>Maintain approved endpoint or workload protection appropriate to the environment. Keep operating systems, browsers, and security agents supported and updated. Restrict administrative privileges, disable unnecessary services, and use secure configuration baselines. Do not disable or bypass protective controls without authorized, documented exception.</w:t>
      </w:r>
    </w:p>
    <w:p>
      <w:pPr>
        <w:pStyle w:val="Heading1"/>
      </w:pPr>
      <w:r>
        <w:t>3. User practices</w:t>
      </w:r>
    </w:p>
    <w:p>
      <w:r>
        <w:t>Open attachments and links cautiously, obtain software only from approved sources, scan removable media where permitted, and promptly report suspicious messages, alerts, or device behavior. Users must not attempt to remove malware or destroy evidence unless directed by the response lead.</w:t>
      </w:r>
    </w:p>
    <w:p>
      <w:pPr>
        <w:pStyle w:val="Heading1"/>
      </w:pPr>
      <w:r>
        <w:t>4. Detection and response</w:t>
      </w:r>
    </w:p>
    <w:p>
      <w:r>
        <w:t>IT/security monitors alerts, investigates suspected malware, isolates affected assets when appropriate, preserves evidence, removes malicious content, restores from trusted sources, and assesses possible data exposure. Record detection, containment, remediation, recovery, and follow-up actions under the incident process.</w:t>
      </w:r>
    </w:p>
    <w:p>
      <w:pPr>
        <w:pStyle w:val="Heading1"/>
      </w:pPr>
      <w:r>
        <w:t>5. Validation and records</w:t>
      </w:r>
    </w:p>
    <w:p>
      <w:r>
        <w:t>Retain evidence of protection coverage, update status, alerts, exceptions, and incident remediation. Review coverage and effectiveness periodically based on risk. Do not name tools or claim coverage without current evidence.</w:t>
      </w:r>
    </w:p>
    <w:p>
      <w:pPr>
        <w:pStyle w:val="Heading1"/>
      </w:pPr>
      <w:r>
        <w:t>6. Review</w:t>
      </w:r>
    </w:p>
    <w:p>
      <w:r>
        <w:t>The security owner reviews this policy at least annually and after significant incidents or changes. Management approves exceptions.</w:t>
      </w:r>
    </w:p>
    <w:p>
      <w:pPr>
        <w:pStyle w:val="Heading1"/>
      </w:pPr>
      <w:r>
        <w:t>Document approval</w:t>
      </w:r>
    </w:p>
    <w:p>
      <w:r>
        <w:t>Approval name, role, signature/record reference, and approval date must be completed by authorized personnel after substantive review. This draft is not evidence of approval or operation during the audit period.</w:t>
      </w:r>
    </w:p>
    <w:sectPr w:rsidR="00FC693F" w:rsidRPr="0006063C" w:rsidSect="00034616">
      <w:headerReference xmlns:r="http://schemas.openxmlformats.org/officeDocument/2006/relationships" r:id="rId9" w:type="default"/>
      <w:headerReference xmlns:r="http://schemas.openxmlformats.org/officeDocument/2006/relationships" r:id="rId10" w:type="first"/>
      <w:footerReference xmlns:r="http://schemas.openxmlformats.org/officeDocument/2006/relationships" r:id="rId11" w:type="first"/>
      <w:footerReference xmlns:r="http://schemas.openxmlformats.org/officeDocument/2006/relationships" r:id="rId12" w:type="default"/>
      <w:pgSz w:w="12240" w:h="15840"/>
      <w:pgMar w:header="0" w:bottom="1440" w:left="851" w:right="1133" w:top="567" w:foo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