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pPr>
        <w:pStyle w:val="Title"/>
        <w:jc w:val="center"/>
      </w:pPr>
      <w:r>
        <w:t>CONFIGURATION MANAGEMENT POLICY</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ZED-POL-28</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Maintain secure, approved, and traceable configurations for company-managed endpoints, networks, cloud resources, applications, and security tools.</w:t>
      </w:r>
    </w:p>
    <w:p>
      <w:pPr>
        <w:pStyle w:val="Heading1"/>
      </w:pPr>
      <w:r>
        <w:t>2. Baselines and ownership</w:t>
      </w:r>
    </w:p>
    <w:p>
      <w:r>
        <w:t>Assign an owner to each critical service or asset class. Define and document secure configuration baselines appropriate to risk, including identity, network exposure, logging, encryption, backup, patching, and administrative access requirements. Record approved deviations and compensating controls.</w:t>
      </w:r>
    </w:p>
    <w:p>
      <w:pPr>
        <w:pStyle w:val="Heading1"/>
      </w:pPr>
      <w:r>
        <w:t>3. Configuration changes</w:t>
      </w:r>
    </w:p>
    <w:p>
      <w:r>
        <w:t>Changes must be requested, risk-assessed, tested where practicable, approved by an authorized reviewer, implemented by authorized personnel, and recorded with outcome and rollback details. Emergency changes may be expedited to protect service or security but require prompt documentation and retrospective review.</w:t>
      </w:r>
    </w:p>
    <w:p>
      <w:pPr>
        <w:pStyle w:val="Heading1"/>
      </w:pPr>
      <w:r>
        <w:t>4. Monitoring and drift</w:t>
      </w:r>
    </w:p>
    <w:p>
      <w:r>
        <w:t>Review configurations and privileged access periodically using available control evidence. Investigate unauthorized drift, misconfiguration, and unsupported components; assign corrective action and track closure. Restrict access to configuration repositories and protect secrets.</w:t>
      </w:r>
    </w:p>
    <w:p>
      <w:pPr>
        <w:pStyle w:val="Heading1"/>
      </w:pPr>
      <w:r>
        <w:t>5. Records</w:t>
      </w:r>
    </w:p>
    <w:p>
      <w:r>
        <w:t>Retain baselines, change requests, approvals, test results, exceptions, scans/reviews, remediation, and retirement records. Records must identify the asset/service, responsible owner, date, and reviewer.</w:t>
      </w:r>
    </w:p>
    <w:p>
      <w:pPr>
        <w:pStyle w:val="Heading1"/>
      </w:pPr>
      <w:r>
        <w:t>6. Review</w:t>
      </w:r>
    </w:p>
    <w:p>
      <w:r>
        <w:t>IT/security and service owners review this policy and applicable baselines annually and after material changes. Cloud-provider-specific settings must be confirmed against the actual environment.</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850.3937007874016" w:hanging="360.00000000000006"/>
    </w:pPr>
    <w:rPr>
      <w:rFonts w:ascii="Helvetica Neue" w:cs="Helvetica Neue" w:eastAsia="Helvetica Neue" w:hAnsi="Helvetica Neue"/>
      <w:b w:val="1"/>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style>
  <w:style w:type="table" w:styleId="Table6">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style>
  <w:style w:type="table" w:styleId="Table7">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style>
  <w:style w:type="table" w:styleId="Table8">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tblStylePr w:type="band1Horz">
      <w:tcPr/>
    </w:tblStylePr>
    <w:tblStylePr w:type="band1Vert">
      <w:tcPr/>
    </w:tblStylePr>
    <w:tblStylePr w:type="band2Horz">
      <w:tcPr/>
    </w:tblStylePr>
    <w:tblStylePr w:type="band2Vert">
      <w:tcPr/>
    </w:tblStylePr>
    <w:tblStylePr w:type="firstCol">
      <w:rPr>
        <w:b w:val="1"/>
      </w:rPr>
      <w:tcPr/>
    </w:tblStylePr>
    <w:tblStylePr w:type="firstRow">
      <w:pPr>
        <w:spacing w:after="0" w:before="0" w:line="240" w:lineRule="auto"/>
      </w:pPr>
      <w:rPr>
        <w:b w:val="1"/>
        <w:color w:val="ffffff"/>
      </w:rPr>
      <w:tcPr>
        <w:shd w:fill="4f81bd" w:val="clear"/>
      </w:tcPr>
    </w:tblStylePr>
    <w:tblStylePr w:type="lastCol">
      <w:rPr>
        <w:b w:val="1"/>
      </w:rPr>
      <w:tcPr/>
    </w:tblStylePr>
    <w:tblStylePr w:type="lastRow">
      <w:pPr>
        <w:spacing w:after="0" w:before="0" w:line="240" w:lineRule="auto"/>
      </w:pPr>
      <w:rPr>
        <w:b w:val="1"/>
      </w:rPr>
      <w:tcPr/>
    </w:tblStylePr>
    <w:tblStylePr w:type="neCell">
      <w:tcPr/>
    </w:tblStylePr>
    <w:tblStylePr w:type="nwCell">
      <w:tcPr/>
    </w:tblStylePr>
    <w:tblStylePr w:type="seCell">
      <w:tcPr/>
    </w:tblStylePr>
    <w:tblStylePr w:type="swCell">
      <w:tcPr/>
    </w:tblStylePr>
  </w:style>
  <w:style w:type="table" w:styleId="Table9">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tcPr>
      <w:vAlign w:val="center"/>
    </w:tcPr>
    <w:tblStylePr w:type="band1Horz">
      <w:tcPr/>
    </w:tblStylePr>
    <w:tblStylePr w:type="band1Vert">
      <w:tcPr/>
    </w:tblStylePr>
    <w:tblStylePr w:type="band2Horz">
      <w:tcPr/>
    </w:tblStylePr>
    <w:tblStylePr w:type="band2Vert">
      <w:tcPr/>
    </w:tblStylePr>
    <w:tblStylePr w:type="firstCol">
      <w:rPr>
        <w:b w:val="1"/>
      </w:rPr>
      <w:tcPr/>
    </w:tblStylePr>
    <w:tblStylePr w:type="firstRow">
      <w:pPr>
        <w:spacing w:after="0" w:before="0" w:line="240" w:lineRule="auto"/>
      </w:pPr>
      <w:rPr>
        <w:b w:val="1"/>
        <w:color w:val="ffffff"/>
      </w:rPr>
      <w:tcPr>
        <w:shd w:fill="4f81bd" w:val="clear"/>
      </w:tcPr>
    </w:tblStylePr>
    <w:tblStylePr w:type="lastCol">
      <w:rPr>
        <w:b w:val="1"/>
      </w:rPr>
      <w:tcPr/>
    </w:tblStylePr>
    <w:tblStylePr w:type="lastRow">
      <w:pPr>
        <w:spacing w:after="0" w:before="0" w:line="240" w:lineRule="auto"/>
      </w:pPr>
      <w:rPr>
        <w:b w:val="1"/>
      </w:rPr>
      <w:tcPr/>
    </w:tblStylePr>
    <w:tblStylePr w:type="neCell">
      <w:tcPr/>
    </w:tblStylePr>
    <w:tblStylePr w:type="nwCell">
      <w:tcPr/>
    </w:tblStylePr>
    <w:tblStylePr w:type="seCell">
      <w:tcPr/>
    </w:tblStylePr>
    <w:tblStylePr w:type="swCell">
      <w:tcPr/>
    </w:tblStyle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N+RJ6kR0cHHgfrRDzAXwsxyh/Q==">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